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5123" w:rsidRPr="00E85451" w:rsidRDefault="00223574" w:rsidP="00223574">
      <w:pPr>
        <w:jc w:val="center"/>
        <w:rPr>
          <w:rFonts w:ascii="Arial" w:hAnsi="Arial" w:cs="Arial"/>
          <w:b/>
          <w:color w:val="auto"/>
          <w:sz w:val="22"/>
          <w:szCs w:val="22"/>
        </w:rPr>
      </w:pPr>
      <w:r w:rsidRPr="00223574">
        <w:rPr>
          <w:rFonts w:ascii="Arial" w:hAnsi="Arial" w:cs="Arial"/>
          <w:b/>
          <w:noProof/>
          <w:color w:val="auto"/>
          <w:sz w:val="22"/>
          <w:szCs w:val="22"/>
        </w:rPr>
        <mc:AlternateContent>
          <mc:Choice Requires="wps">
            <w:drawing>
              <wp:anchor distT="0" distB="0" distL="114300" distR="114300" simplePos="0" relativeHeight="251659264" behindDoc="0" locked="0" layoutInCell="1" allowOverlap="1" wp14:editId="36B11C9B">
                <wp:simplePos x="0" y="0"/>
                <wp:positionH relativeFrom="column">
                  <wp:posOffset>31750</wp:posOffset>
                </wp:positionH>
                <wp:positionV relativeFrom="paragraph">
                  <wp:posOffset>5111115</wp:posOffset>
                </wp:positionV>
                <wp:extent cx="5991225" cy="1533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533525"/>
                        </a:xfrm>
                        <a:prstGeom prst="rect">
                          <a:avLst/>
                        </a:prstGeom>
                        <a:noFill/>
                        <a:ln w="9525">
                          <a:noFill/>
                          <a:miter lim="800000"/>
                          <a:headEnd/>
                          <a:tailEnd/>
                        </a:ln>
                      </wps:spPr>
                      <wps:txbx>
                        <w:txbxContent>
                          <w:p w:rsidR="00223574" w:rsidRPr="00223574" w:rsidRDefault="00223574" w:rsidP="00223574">
                            <w:pPr>
                              <w:jc w:val="center"/>
                              <w:rPr>
                                <w:rFonts w:ascii="Arial" w:eastAsia="Arial" w:hAnsi="Arial" w:cs="Arial"/>
                                <w:b/>
                                <w:color w:val="FFFFFF" w:themeColor="background1"/>
                                <w:sz w:val="36"/>
                                <w:szCs w:val="36"/>
                              </w:rPr>
                            </w:pPr>
                            <w:r w:rsidRPr="00223574">
                              <w:rPr>
                                <w:rFonts w:ascii="Arial" w:eastAsia="Arial" w:hAnsi="Arial" w:cs="Arial"/>
                                <w:b/>
                                <w:color w:val="FFFFFF" w:themeColor="background1"/>
                                <w:sz w:val="36"/>
                                <w:szCs w:val="36"/>
                              </w:rPr>
                              <w:t>Izvješće o radu Agencije za mobilnost i programe EU u 2014. godini</w:t>
                            </w:r>
                          </w:p>
                          <w:p w:rsidR="00223574" w:rsidRDefault="002235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402.45pt;width:471.7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" filled="f" stroked="f">
                <v:textbox>
                  <w:txbxContent>
                    <w:p w:rsidR="00223574" w:rsidRPr="00223574" w:rsidRDefault="00223574" w:rsidP="00223574">
                      <w:pPr>
                        <w:jc w:val="center"/>
                        <w:rPr>
                          <w:rFonts w:ascii="Arial" w:eastAsia="Arial" w:hAnsi="Arial" w:cs="Arial"/>
                          <w:b/>
                          <w:color w:val="FFFFFF" w:themeColor="background1"/>
                          <w:sz w:val="36"/>
                          <w:szCs w:val="36"/>
                        </w:rPr>
                      </w:pPr>
                      <w:r w:rsidRPr="00223574">
                        <w:rPr>
                          <w:rFonts w:ascii="Arial" w:eastAsia="Arial" w:hAnsi="Arial" w:cs="Arial"/>
                          <w:b/>
                          <w:color w:val="FFFFFF" w:themeColor="background1"/>
                          <w:sz w:val="36"/>
                          <w:szCs w:val="36"/>
                        </w:rPr>
                        <w:t>Izvješće o radu Agencije za mobilnost i programe EU u 2014. godini</w:t>
                      </w:r>
                    </w:p>
                    <w:p w:rsidR="00223574" w:rsidRDefault="00223574"/>
                  </w:txbxContent>
                </v:textbox>
              </v:shape>
            </w:pict>
          </mc:Fallback>
        </mc:AlternateContent>
      </w:r>
      <w:r w:rsidR="00F430E2">
        <w:rPr>
          <w:rFonts w:ascii="Arial" w:hAnsi="Arial" w:cs="Arial"/>
          <w:b/>
          <w:noProof/>
          <w:color w:val="auto"/>
          <w:sz w:val="22"/>
          <w:szCs w:val="22"/>
        </w:rPr>
        <w:drawing>
          <wp:inline distT="0" distB="0" distL="0" distR="0">
            <wp:extent cx="6019800" cy="868162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eu.jpg"/>
                    <pic:cNvPicPr/>
                  </pic:nvPicPr>
                  <pic:blipFill rotWithShape="1">
                    <a:blip r:embed="rId9" cstate="print">
                      <a:extLst>
                        <a:ext uri="{28A0092B-C50C-407E-A947-70E740481C1C}">
                          <a14:useLocalDpi xmlns:a14="http://schemas.microsoft.com/office/drawing/2010/main" val="0"/>
                        </a:ext>
                      </a:extLst>
                    </a:blip>
                    <a:srcRect t="22299" b="9023"/>
                    <a:stretch/>
                  </pic:blipFill>
                  <pic:spPr bwMode="auto">
                    <a:xfrm>
                      <a:off x="0" y="0"/>
                      <a:ext cx="6020157" cy="8682140"/>
                    </a:xfrm>
                    <a:prstGeom prst="rect">
                      <a:avLst/>
                    </a:prstGeom>
                    <a:ln>
                      <a:noFill/>
                    </a:ln>
                    <a:extLst>
                      <a:ext uri="{53640926-AAD7-44D8-BBD7-CCE9431645EC}">
                        <a14:shadowObscured xmlns:a14="http://schemas.microsoft.com/office/drawing/2010/main"/>
                      </a:ext>
                    </a:extLst>
                  </pic:spPr>
                </pic:pic>
              </a:graphicData>
            </a:graphic>
          </wp:inline>
        </w:drawing>
      </w:r>
    </w:p>
    <w:sdt>
      <w:sdtPr>
        <w:rPr>
          <w:rFonts w:ascii="Arial" w:eastAsia="Times New Roman" w:hAnsi="Arial" w:cs="Arial"/>
          <w:b w:val="0"/>
          <w:bCs w:val="0"/>
          <w:color w:val="auto"/>
          <w:sz w:val="22"/>
          <w:szCs w:val="22"/>
          <w:lang w:val="hr-HR" w:eastAsia="hr-HR"/>
        </w:rPr>
        <w:id w:val="-910390550"/>
        <w:docPartObj>
          <w:docPartGallery w:val="Table of Contents"/>
          <w:docPartUnique/>
        </w:docPartObj>
      </w:sdtPr>
      <w:sdtEndPr>
        <w:rPr>
          <w:noProof/>
        </w:rPr>
      </w:sdtEndPr>
      <w:sdtContent>
        <w:p w:rsidR="008B5123" w:rsidRDefault="008B5123">
          <w:pPr>
            <w:pStyle w:val="TOCHeading"/>
            <w:rPr>
              <w:rFonts w:ascii="Arial" w:eastAsia="Times New Roman" w:hAnsi="Arial" w:cs="Arial"/>
              <w:b w:val="0"/>
              <w:bCs w:val="0"/>
              <w:color w:val="auto"/>
              <w:sz w:val="22"/>
              <w:szCs w:val="22"/>
              <w:lang w:val="hr-HR" w:eastAsia="hr-HR"/>
            </w:rPr>
          </w:pPr>
        </w:p>
        <w:p w:rsidR="00601741" w:rsidRPr="000F3158" w:rsidRDefault="00860FAB">
          <w:pPr>
            <w:pStyle w:val="TOCHeading"/>
            <w:rPr>
              <w:rFonts w:ascii="Arial" w:hAnsi="Arial" w:cs="Arial"/>
              <w:color w:val="auto"/>
              <w:lang w:val="fr-FR"/>
            </w:rPr>
          </w:pPr>
          <w:r w:rsidRPr="000F3158">
            <w:rPr>
              <w:rFonts w:ascii="Arial" w:hAnsi="Arial" w:cs="Arial"/>
              <w:color w:val="auto"/>
              <w:lang w:val="fr-FR"/>
            </w:rPr>
            <w:t>Sadržaj</w:t>
          </w:r>
        </w:p>
        <w:p w:rsidR="00F430E2" w:rsidRDefault="00601741">
          <w:pPr>
            <w:pStyle w:val="TOC1"/>
            <w:tabs>
              <w:tab w:val="left" w:pos="480"/>
              <w:tab w:val="right" w:leader="dot" w:pos="8908"/>
            </w:tabs>
            <w:rPr>
              <w:rFonts w:asciiTheme="minorHAnsi" w:eastAsiaTheme="minorEastAsia" w:hAnsiTheme="minorHAnsi" w:cstheme="minorBidi"/>
              <w:noProof/>
              <w:color w:val="auto"/>
              <w:sz w:val="22"/>
              <w:szCs w:val="22"/>
            </w:rPr>
          </w:pPr>
          <w:r w:rsidRPr="00E85451">
            <w:rPr>
              <w:rFonts w:ascii="Arial" w:hAnsi="Arial" w:cs="Arial"/>
              <w:color w:val="auto"/>
              <w:sz w:val="22"/>
              <w:szCs w:val="22"/>
            </w:rPr>
            <w:fldChar w:fldCharType="begin"/>
          </w:r>
          <w:r w:rsidRPr="00E85451">
            <w:rPr>
              <w:rFonts w:ascii="Arial" w:hAnsi="Arial" w:cs="Arial"/>
              <w:color w:val="auto"/>
              <w:sz w:val="22"/>
              <w:szCs w:val="22"/>
            </w:rPr>
            <w:instrText xml:space="preserve"> TOC \o "1-3" \h \z \u </w:instrText>
          </w:r>
          <w:r w:rsidRPr="00E85451">
            <w:rPr>
              <w:rFonts w:ascii="Arial" w:hAnsi="Arial" w:cs="Arial"/>
              <w:color w:val="auto"/>
              <w:sz w:val="22"/>
              <w:szCs w:val="22"/>
            </w:rPr>
            <w:fldChar w:fldCharType="separate"/>
          </w:r>
          <w:hyperlink w:anchor="_Toc419192148" w:history="1">
            <w:r w:rsidR="00F430E2" w:rsidRPr="00BC1893">
              <w:rPr>
                <w:rStyle w:val="Hyperlink"/>
                <w:rFonts w:ascii="Arial" w:hAnsi="Arial" w:cs="Arial"/>
                <w:noProof/>
              </w:rPr>
              <w:t>1.</w:t>
            </w:r>
            <w:r w:rsidR="00F430E2">
              <w:rPr>
                <w:rFonts w:asciiTheme="minorHAnsi" w:eastAsiaTheme="minorEastAsia" w:hAnsiTheme="minorHAnsi" w:cstheme="minorBidi"/>
                <w:noProof/>
                <w:color w:val="auto"/>
                <w:sz w:val="22"/>
                <w:szCs w:val="22"/>
              </w:rPr>
              <w:tab/>
            </w:r>
            <w:r w:rsidR="00F430E2" w:rsidRPr="00BC1893">
              <w:rPr>
                <w:rStyle w:val="Hyperlink"/>
                <w:rFonts w:ascii="Arial" w:hAnsi="Arial" w:cs="Arial"/>
                <w:noProof/>
              </w:rPr>
              <w:t>Uvod</w:t>
            </w:r>
            <w:r w:rsidR="00F430E2">
              <w:rPr>
                <w:noProof/>
                <w:webHidden/>
              </w:rPr>
              <w:tab/>
            </w:r>
            <w:r w:rsidR="00F430E2">
              <w:rPr>
                <w:noProof/>
                <w:webHidden/>
              </w:rPr>
              <w:fldChar w:fldCharType="begin"/>
            </w:r>
            <w:r w:rsidR="00F430E2">
              <w:rPr>
                <w:noProof/>
                <w:webHidden/>
              </w:rPr>
              <w:instrText xml:space="preserve"> PAGEREF _Toc419192148 \h </w:instrText>
            </w:r>
            <w:r w:rsidR="00F430E2">
              <w:rPr>
                <w:noProof/>
                <w:webHidden/>
              </w:rPr>
            </w:r>
            <w:r w:rsidR="00F430E2">
              <w:rPr>
                <w:noProof/>
                <w:webHidden/>
              </w:rPr>
              <w:fldChar w:fldCharType="separate"/>
            </w:r>
            <w:r w:rsidR="000475FE">
              <w:rPr>
                <w:noProof/>
                <w:webHidden/>
              </w:rPr>
              <w:t>3</w:t>
            </w:r>
            <w:r w:rsidR="00F430E2">
              <w:rPr>
                <w:noProof/>
                <w:webHidden/>
              </w:rPr>
              <w:fldChar w:fldCharType="end"/>
            </w:r>
          </w:hyperlink>
        </w:p>
        <w:p w:rsidR="00F430E2" w:rsidRDefault="00704C63">
          <w:pPr>
            <w:pStyle w:val="TOC1"/>
            <w:tabs>
              <w:tab w:val="left" w:pos="480"/>
              <w:tab w:val="right" w:leader="dot" w:pos="8908"/>
            </w:tabs>
            <w:rPr>
              <w:rFonts w:asciiTheme="minorHAnsi" w:eastAsiaTheme="minorEastAsia" w:hAnsiTheme="minorHAnsi" w:cstheme="minorBidi"/>
              <w:noProof/>
              <w:color w:val="auto"/>
              <w:sz w:val="22"/>
              <w:szCs w:val="22"/>
            </w:rPr>
          </w:pPr>
          <w:hyperlink w:anchor="_Toc419192149" w:history="1">
            <w:r w:rsidR="00F430E2" w:rsidRPr="00BC1893">
              <w:rPr>
                <w:rStyle w:val="Hyperlink"/>
                <w:rFonts w:ascii="Arial" w:hAnsi="Arial" w:cs="Arial"/>
                <w:noProof/>
              </w:rPr>
              <w:t>2.</w:t>
            </w:r>
            <w:r w:rsidR="00F430E2">
              <w:rPr>
                <w:rFonts w:asciiTheme="minorHAnsi" w:eastAsiaTheme="minorEastAsia" w:hAnsiTheme="minorHAnsi" w:cstheme="minorBidi"/>
                <w:noProof/>
                <w:color w:val="auto"/>
                <w:sz w:val="22"/>
                <w:szCs w:val="22"/>
              </w:rPr>
              <w:tab/>
            </w:r>
            <w:r w:rsidR="00F430E2" w:rsidRPr="00BC1893">
              <w:rPr>
                <w:rStyle w:val="Hyperlink"/>
                <w:rFonts w:ascii="Arial" w:hAnsi="Arial" w:cs="Arial"/>
                <w:noProof/>
              </w:rPr>
              <w:t>Programske aktivnosti</w:t>
            </w:r>
            <w:r w:rsidR="00F430E2">
              <w:rPr>
                <w:noProof/>
                <w:webHidden/>
              </w:rPr>
              <w:tab/>
            </w:r>
            <w:r w:rsidR="00F430E2">
              <w:rPr>
                <w:noProof/>
                <w:webHidden/>
              </w:rPr>
              <w:fldChar w:fldCharType="begin"/>
            </w:r>
            <w:r w:rsidR="00F430E2">
              <w:rPr>
                <w:noProof/>
                <w:webHidden/>
              </w:rPr>
              <w:instrText xml:space="preserve"> PAGEREF _Toc419192149 \h </w:instrText>
            </w:r>
            <w:r w:rsidR="00F430E2">
              <w:rPr>
                <w:noProof/>
                <w:webHidden/>
              </w:rPr>
            </w:r>
            <w:r w:rsidR="00F430E2">
              <w:rPr>
                <w:noProof/>
                <w:webHidden/>
              </w:rPr>
              <w:fldChar w:fldCharType="separate"/>
            </w:r>
            <w:r w:rsidR="000475FE">
              <w:rPr>
                <w:noProof/>
                <w:webHidden/>
              </w:rPr>
              <w:t>5</w:t>
            </w:r>
            <w:r w:rsidR="00F430E2">
              <w:rPr>
                <w:noProof/>
                <w:webHidden/>
              </w:rPr>
              <w:fldChar w:fldCharType="end"/>
            </w:r>
          </w:hyperlink>
        </w:p>
        <w:p w:rsidR="00F430E2" w:rsidRDefault="00704C63">
          <w:pPr>
            <w:pStyle w:val="TOC2"/>
            <w:tabs>
              <w:tab w:val="right" w:leader="dot" w:pos="8908"/>
            </w:tabs>
            <w:rPr>
              <w:rFonts w:asciiTheme="minorHAnsi" w:eastAsiaTheme="minorEastAsia" w:hAnsiTheme="minorHAnsi" w:cstheme="minorBidi"/>
              <w:noProof/>
              <w:color w:val="auto"/>
              <w:sz w:val="22"/>
              <w:szCs w:val="22"/>
            </w:rPr>
          </w:pPr>
          <w:hyperlink w:anchor="_Toc419192150" w:history="1">
            <w:r w:rsidR="00F430E2" w:rsidRPr="00BC1893">
              <w:rPr>
                <w:rStyle w:val="Hyperlink"/>
                <w:rFonts w:ascii="Arial" w:hAnsi="Arial" w:cs="Arial"/>
                <w:noProof/>
              </w:rPr>
              <w:t>2.1. Program Erasmus+</w:t>
            </w:r>
            <w:r w:rsidR="00F430E2">
              <w:rPr>
                <w:noProof/>
                <w:webHidden/>
              </w:rPr>
              <w:tab/>
            </w:r>
            <w:r w:rsidR="00F430E2">
              <w:rPr>
                <w:noProof/>
                <w:webHidden/>
              </w:rPr>
              <w:fldChar w:fldCharType="begin"/>
            </w:r>
            <w:r w:rsidR="00F430E2">
              <w:rPr>
                <w:noProof/>
                <w:webHidden/>
              </w:rPr>
              <w:instrText xml:space="preserve"> PAGEREF _Toc419192150 \h </w:instrText>
            </w:r>
            <w:r w:rsidR="00F430E2">
              <w:rPr>
                <w:noProof/>
                <w:webHidden/>
              </w:rPr>
            </w:r>
            <w:r w:rsidR="00F430E2">
              <w:rPr>
                <w:noProof/>
                <w:webHidden/>
              </w:rPr>
              <w:fldChar w:fldCharType="separate"/>
            </w:r>
            <w:r w:rsidR="000475FE">
              <w:rPr>
                <w:noProof/>
                <w:webHidden/>
              </w:rPr>
              <w:t>5</w:t>
            </w:r>
            <w:r w:rsidR="00F430E2">
              <w:rPr>
                <w:noProof/>
                <w:webHidden/>
              </w:rPr>
              <w:fldChar w:fldCharType="end"/>
            </w:r>
          </w:hyperlink>
        </w:p>
        <w:p w:rsidR="00F430E2" w:rsidRDefault="00704C63">
          <w:pPr>
            <w:pStyle w:val="TOC3"/>
            <w:tabs>
              <w:tab w:val="right" w:leader="dot" w:pos="8908"/>
            </w:tabs>
            <w:rPr>
              <w:rFonts w:asciiTheme="minorHAnsi" w:eastAsiaTheme="minorEastAsia" w:hAnsiTheme="minorHAnsi" w:cstheme="minorBidi"/>
              <w:noProof/>
              <w:color w:val="auto"/>
              <w:sz w:val="22"/>
              <w:szCs w:val="22"/>
            </w:rPr>
          </w:pPr>
          <w:hyperlink w:anchor="_Toc419192151" w:history="1">
            <w:r w:rsidR="00F430E2" w:rsidRPr="00BC1893">
              <w:rPr>
                <w:rStyle w:val="Hyperlink"/>
                <w:rFonts w:ascii="Arial" w:hAnsi="Arial" w:cs="Arial"/>
                <w:noProof/>
              </w:rPr>
              <w:t>2.1.1. ECVET</w:t>
            </w:r>
            <w:r w:rsidR="00F430E2">
              <w:rPr>
                <w:noProof/>
                <w:webHidden/>
              </w:rPr>
              <w:tab/>
            </w:r>
            <w:r w:rsidR="00F430E2">
              <w:rPr>
                <w:noProof/>
                <w:webHidden/>
              </w:rPr>
              <w:fldChar w:fldCharType="begin"/>
            </w:r>
            <w:r w:rsidR="00F430E2">
              <w:rPr>
                <w:noProof/>
                <w:webHidden/>
              </w:rPr>
              <w:instrText xml:space="preserve"> PAGEREF _Toc419192151 \h </w:instrText>
            </w:r>
            <w:r w:rsidR="00F430E2">
              <w:rPr>
                <w:noProof/>
                <w:webHidden/>
              </w:rPr>
            </w:r>
            <w:r w:rsidR="00F430E2">
              <w:rPr>
                <w:noProof/>
                <w:webHidden/>
              </w:rPr>
              <w:fldChar w:fldCharType="separate"/>
            </w:r>
            <w:r w:rsidR="000475FE">
              <w:rPr>
                <w:noProof/>
                <w:webHidden/>
              </w:rPr>
              <w:t>11</w:t>
            </w:r>
            <w:r w:rsidR="00F430E2">
              <w:rPr>
                <w:noProof/>
                <w:webHidden/>
              </w:rPr>
              <w:fldChar w:fldCharType="end"/>
            </w:r>
          </w:hyperlink>
        </w:p>
        <w:p w:rsidR="00F430E2" w:rsidRDefault="00704C63">
          <w:pPr>
            <w:pStyle w:val="TOC3"/>
            <w:tabs>
              <w:tab w:val="right" w:leader="dot" w:pos="8908"/>
            </w:tabs>
            <w:rPr>
              <w:rFonts w:asciiTheme="minorHAnsi" w:eastAsiaTheme="minorEastAsia" w:hAnsiTheme="minorHAnsi" w:cstheme="minorBidi"/>
              <w:noProof/>
              <w:color w:val="auto"/>
              <w:sz w:val="22"/>
              <w:szCs w:val="22"/>
            </w:rPr>
          </w:pPr>
          <w:hyperlink w:anchor="_Toc419192152" w:history="1">
            <w:r w:rsidR="00F430E2" w:rsidRPr="00BC1893">
              <w:rPr>
                <w:rStyle w:val="Hyperlink"/>
                <w:rFonts w:ascii="Arial" w:hAnsi="Arial" w:cs="Arial"/>
                <w:noProof/>
              </w:rPr>
              <w:t>2.1.2. Eurodesk</w:t>
            </w:r>
            <w:r w:rsidR="00F430E2">
              <w:rPr>
                <w:noProof/>
                <w:webHidden/>
              </w:rPr>
              <w:tab/>
            </w:r>
            <w:r w:rsidR="00F430E2">
              <w:rPr>
                <w:noProof/>
                <w:webHidden/>
              </w:rPr>
              <w:fldChar w:fldCharType="begin"/>
            </w:r>
            <w:r w:rsidR="00F430E2">
              <w:rPr>
                <w:noProof/>
                <w:webHidden/>
              </w:rPr>
              <w:instrText xml:space="preserve"> PAGEREF _Toc419192152 \h </w:instrText>
            </w:r>
            <w:r w:rsidR="00F430E2">
              <w:rPr>
                <w:noProof/>
                <w:webHidden/>
              </w:rPr>
            </w:r>
            <w:r w:rsidR="00F430E2">
              <w:rPr>
                <w:noProof/>
                <w:webHidden/>
              </w:rPr>
              <w:fldChar w:fldCharType="separate"/>
            </w:r>
            <w:r w:rsidR="000475FE">
              <w:rPr>
                <w:noProof/>
                <w:webHidden/>
              </w:rPr>
              <w:t>12</w:t>
            </w:r>
            <w:r w:rsidR="00F430E2">
              <w:rPr>
                <w:noProof/>
                <w:webHidden/>
              </w:rPr>
              <w:fldChar w:fldCharType="end"/>
            </w:r>
          </w:hyperlink>
        </w:p>
        <w:p w:rsidR="00F430E2" w:rsidRDefault="00704C63">
          <w:pPr>
            <w:pStyle w:val="TOC2"/>
            <w:tabs>
              <w:tab w:val="right" w:leader="dot" w:pos="8908"/>
            </w:tabs>
            <w:rPr>
              <w:rFonts w:asciiTheme="minorHAnsi" w:eastAsiaTheme="minorEastAsia" w:hAnsiTheme="minorHAnsi" w:cstheme="minorBidi"/>
              <w:noProof/>
              <w:color w:val="auto"/>
              <w:sz w:val="22"/>
              <w:szCs w:val="22"/>
            </w:rPr>
          </w:pPr>
          <w:hyperlink w:anchor="_Toc419192153" w:history="1">
            <w:r w:rsidR="00F430E2" w:rsidRPr="00BC1893">
              <w:rPr>
                <w:rStyle w:val="Hyperlink"/>
                <w:rFonts w:ascii="Arial" w:hAnsi="Arial" w:cs="Arial"/>
                <w:noProof/>
              </w:rPr>
              <w:t>2.2. Program za cjeloživotno učenje</w:t>
            </w:r>
            <w:r w:rsidR="00F430E2">
              <w:rPr>
                <w:noProof/>
                <w:webHidden/>
              </w:rPr>
              <w:tab/>
            </w:r>
            <w:r w:rsidR="00F430E2">
              <w:rPr>
                <w:noProof/>
                <w:webHidden/>
              </w:rPr>
              <w:fldChar w:fldCharType="begin"/>
            </w:r>
            <w:r w:rsidR="00F430E2">
              <w:rPr>
                <w:noProof/>
                <w:webHidden/>
              </w:rPr>
              <w:instrText xml:space="preserve"> PAGEREF _Toc419192153 \h </w:instrText>
            </w:r>
            <w:r w:rsidR="00F430E2">
              <w:rPr>
                <w:noProof/>
                <w:webHidden/>
              </w:rPr>
            </w:r>
            <w:r w:rsidR="00F430E2">
              <w:rPr>
                <w:noProof/>
                <w:webHidden/>
              </w:rPr>
              <w:fldChar w:fldCharType="separate"/>
            </w:r>
            <w:r w:rsidR="000475FE">
              <w:rPr>
                <w:noProof/>
                <w:webHidden/>
              </w:rPr>
              <w:t>15</w:t>
            </w:r>
            <w:r w:rsidR="00F430E2">
              <w:rPr>
                <w:noProof/>
                <w:webHidden/>
              </w:rPr>
              <w:fldChar w:fldCharType="end"/>
            </w:r>
          </w:hyperlink>
        </w:p>
        <w:p w:rsidR="00F430E2" w:rsidRDefault="00704C63">
          <w:pPr>
            <w:pStyle w:val="TOC2"/>
            <w:tabs>
              <w:tab w:val="right" w:leader="dot" w:pos="8908"/>
            </w:tabs>
            <w:rPr>
              <w:rFonts w:asciiTheme="minorHAnsi" w:eastAsiaTheme="minorEastAsia" w:hAnsiTheme="minorHAnsi" w:cstheme="minorBidi"/>
              <w:noProof/>
              <w:color w:val="auto"/>
              <w:sz w:val="22"/>
              <w:szCs w:val="22"/>
            </w:rPr>
          </w:pPr>
          <w:hyperlink w:anchor="_Toc419192154" w:history="1">
            <w:r w:rsidR="00F430E2" w:rsidRPr="00BC1893">
              <w:rPr>
                <w:rStyle w:val="Hyperlink"/>
                <w:rFonts w:ascii="Arial" w:hAnsi="Arial" w:cs="Arial"/>
                <w:noProof/>
              </w:rPr>
              <w:t>2.3. Program Mladi na djelu</w:t>
            </w:r>
            <w:r w:rsidR="00F430E2">
              <w:rPr>
                <w:noProof/>
                <w:webHidden/>
              </w:rPr>
              <w:tab/>
            </w:r>
            <w:r w:rsidR="00F430E2">
              <w:rPr>
                <w:noProof/>
                <w:webHidden/>
              </w:rPr>
              <w:fldChar w:fldCharType="begin"/>
            </w:r>
            <w:r w:rsidR="00F430E2">
              <w:rPr>
                <w:noProof/>
                <w:webHidden/>
              </w:rPr>
              <w:instrText xml:space="preserve"> PAGEREF _Toc419192154 \h </w:instrText>
            </w:r>
            <w:r w:rsidR="00F430E2">
              <w:rPr>
                <w:noProof/>
                <w:webHidden/>
              </w:rPr>
            </w:r>
            <w:r w:rsidR="00F430E2">
              <w:rPr>
                <w:noProof/>
                <w:webHidden/>
              </w:rPr>
              <w:fldChar w:fldCharType="separate"/>
            </w:r>
            <w:r w:rsidR="000475FE">
              <w:rPr>
                <w:noProof/>
                <w:webHidden/>
              </w:rPr>
              <w:t>16</w:t>
            </w:r>
            <w:r w:rsidR="00F430E2">
              <w:rPr>
                <w:noProof/>
                <w:webHidden/>
              </w:rPr>
              <w:fldChar w:fldCharType="end"/>
            </w:r>
          </w:hyperlink>
        </w:p>
        <w:p w:rsidR="00F430E2" w:rsidRDefault="00704C63">
          <w:pPr>
            <w:pStyle w:val="TOC2"/>
            <w:tabs>
              <w:tab w:val="right" w:leader="dot" w:pos="8908"/>
            </w:tabs>
            <w:rPr>
              <w:rFonts w:asciiTheme="minorHAnsi" w:eastAsiaTheme="minorEastAsia" w:hAnsiTheme="minorHAnsi" w:cstheme="minorBidi"/>
              <w:noProof/>
              <w:color w:val="auto"/>
              <w:sz w:val="22"/>
              <w:szCs w:val="22"/>
            </w:rPr>
          </w:pPr>
          <w:hyperlink w:anchor="_Toc419192155" w:history="1">
            <w:r w:rsidR="00F430E2" w:rsidRPr="00BC1893">
              <w:rPr>
                <w:rStyle w:val="Hyperlink"/>
                <w:rFonts w:ascii="Arial" w:hAnsi="Arial" w:cs="Arial"/>
                <w:noProof/>
              </w:rPr>
              <w:t>2.4. Program CEEPUS</w:t>
            </w:r>
            <w:r w:rsidR="00F430E2">
              <w:rPr>
                <w:noProof/>
                <w:webHidden/>
              </w:rPr>
              <w:tab/>
            </w:r>
            <w:r w:rsidR="00F430E2">
              <w:rPr>
                <w:noProof/>
                <w:webHidden/>
              </w:rPr>
              <w:fldChar w:fldCharType="begin"/>
            </w:r>
            <w:r w:rsidR="00F430E2">
              <w:rPr>
                <w:noProof/>
                <w:webHidden/>
              </w:rPr>
              <w:instrText xml:space="preserve"> PAGEREF _Toc419192155 \h </w:instrText>
            </w:r>
            <w:r w:rsidR="00F430E2">
              <w:rPr>
                <w:noProof/>
                <w:webHidden/>
              </w:rPr>
            </w:r>
            <w:r w:rsidR="00F430E2">
              <w:rPr>
                <w:noProof/>
                <w:webHidden/>
              </w:rPr>
              <w:fldChar w:fldCharType="separate"/>
            </w:r>
            <w:r w:rsidR="000475FE">
              <w:rPr>
                <w:noProof/>
                <w:webHidden/>
              </w:rPr>
              <w:t>16</w:t>
            </w:r>
            <w:r w:rsidR="00F430E2">
              <w:rPr>
                <w:noProof/>
                <w:webHidden/>
              </w:rPr>
              <w:fldChar w:fldCharType="end"/>
            </w:r>
          </w:hyperlink>
        </w:p>
        <w:p w:rsidR="00F430E2" w:rsidRDefault="00704C63">
          <w:pPr>
            <w:pStyle w:val="TOC2"/>
            <w:tabs>
              <w:tab w:val="right" w:leader="dot" w:pos="8908"/>
            </w:tabs>
            <w:rPr>
              <w:rFonts w:asciiTheme="minorHAnsi" w:eastAsiaTheme="minorEastAsia" w:hAnsiTheme="minorHAnsi" w:cstheme="minorBidi"/>
              <w:noProof/>
              <w:color w:val="auto"/>
              <w:sz w:val="22"/>
              <w:szCs w:val="22"/>
            </w:rPr>
          </w:pPr>
          <w:hyperlink w:anchor="_Toc419192156" w:history="1">
            <w:r w:rsidR="00F430E2" w:rsidRPr="00BC1893">
              <w:rPr>
                <w:rStyle w:val="Hyperlink"/>
                <w:rFonts w:ascii="Arial" w:hAnsi="Arial" w:cs="Arial"/>
                <w:noProof/>
              </w:rPr>
              <w:t>2.5. Bilateralni program akademske mobilnosti</w:t>
            </w:r>
            <w:r w:rsidR="00F430E2">
              <w:rPr>
                <w:noProof/>
                <w:webHidden/>
              </w:rPr>
              <w:tab/>
            </w:r>
            <w:r w:rsidR="00F430E2">
              <w:rPr>
                <w:noProof/>
                <w:webHidden/>
              </w:rPr>
              <w:fldChar w:fldCharType="begin"/>
            </w:r>
            <w:r w:rsidR="00F430E2">
              <w:rPr>
                <w:noProof/>
                <w:webHidden/>
              </w:rPr>
              <w:instrText xml:space="preserve"> PAGEREF _Toc419192156 \h </w:instrText>
            </w:r>
            <w:r w:rsidR="00F430E2">
              <w:rPr>
                <w:noProof/>
                <w:webHidden/>
              </w:rPr>
            </w:r>
            <w:r w:rsidR="00F430E2">
              <w:rPr>
                <w:noProof/>
                <w:webHidden/>
              </w:rPr>
              <w:fldChar w:fldCharType="separate"/>
            </w:r>
            <w:r w:rsidR="000475FE">
              <w:rPr>
                <w:noProof/>
                <w:webHidden/>
              </w:rPr>
              <w:t>18</w:t>
            </w:r>
            <w:r w:rsidR="00F430E2">
              <w:rPr>
                <w:noProof/>
                <w:webHidden/>
              </w:rPr>
              <w:fldChar w:fldCharType="end"/>
            </w:r>
          </w:hyperlink>
        </w:p>
        <w:p w:rsidR="00F430E2" w:rsidRDefault="00704C63">
          <w:pPr>
            <w:pStyle w:val="TOC2"/>
            <w:tabs>
              <w:tab w:val="right" w:leader="dot" w:pos="8908"/>
            </w:tabs>
            <w:rPr>
              <w:rFonts w:asciiTheme="minorHAnsi" w:eastAsiaTheme="minorEastAsia" w:hAnsiTheme="minorHAnsi" w:cstheme="minorBidi"/>
              <w:noProof/>
              <w:color w:val="auto"/>
              <w:sz w:val="22"/>
              <w:szCs w:val="22"/>
            </w:rPr>
          </w:pPr>
          <w:hyperlink w:anchor="_Toc419192157" w:history="1">
            <w:r w:rsidR="00F430E2" w:rsidRPr="00BC1893">
              <w:rPr>
                <w:rStyle w:val="Hyperlink"/>
                <w:rFonts w:ascii="Arial" w:hAnsi="Arial" w:cs="Arial"/>
                <w:noProof/>
              </w:rPr>
              <w:t>2.6. Mreže i inicijative – Europass / Euroguidance / eTwinning</w:t>
            </w:r>
            <w:r w:rsidR="00F430E2">
              <w:rPr>
                <w:noProof/>
                <w:webHidden/>
              </w:rPr>
              <w:tab/>
            </w:r>
            <w:r w:rsidR="00F430E2">
              <w:rPr>
                <w:noProof/>
                <w:webHidden/>
              </w:rPr>
              <w:fldChar w:fldCharType="begin"/>
            </w:r>
            <w:r w:rsidR="00F430E2">
              <w:rPr>
                <w:noProof/>
                <w:webHidden/>
              </w:rPr>
              <w:instrText xml:space="preserve"> PAGEREF _Toc419192157 \h </w:instrText>
            </w:r>
            <w:r w:rsidR="00F430E2">
              <w:rPr>
                <w:noProof/>
                <w:webHidden/>
              </w:rPr>
            </w:r>
            <w:r w:rsidR="00F430E2">
              <w:rPr>
                <w:noProof/>
                <w:webHidden/>
              </w:rPr>
              <w:fldChar w:fldCharType="separate"/>
            </w:r>
            <w:r w:rsidR="000475FE">
              <w:rPr>
                <w:noProof/>
                <w:webHidden/>
              </w:rPr>
              <w:t>20</w:t>
            </w:r>
            <w:r w:rsidR="00F430E2">
              <w:rPr>
                <w:noProof/>
                <w:webHidden/>
              </w:rPr>
              <w:fldChar w:fldCharType="end"/>
            </w:r>
          </w:hyperlink>
        </w:p>
        <w:p w:rsidR="00F430E2" w:rsidRDefault="00704C63">
          <w:pPr>
            <w:pStyle w:val="TOC2"/>
            <w:tabs>
              <w:tab w:val="right" w:leader="dot" w:pos="8908"/>
            </w:tabs>
            <w:rPr>
              <w:rFonts w:asciiTheme="minorHAnsi" w:eastAsiaTheme="minorEastAsia" w:hAnsiTheme="minorHAnsi" w:cstheme="minorBidi"/>
              <w:noProof/>
              <w:color w:val="auto"/>
              <w:sz w:val="22"/>
              <w:szCs w:val="22"/>
            </w:rPr>
          </w:pPr>
          <w:hyperlink w:anchor="_Toc419192158" w:history="1">
            <w:r w:rsidR="00F430E2" w:rsidRPr="00BC1893">
              <w:rPr>
                <w:rStyle w:val="Hyperlink"/>
                <w:rFonts w:ascii="Arial" w:hAnsi="Arial" w:cs="Arial"/>
                <w:noProof/>
              </w:rPr>
              <w:t>2.7. Euraxess (Odjel za mobilnost istraživača)</w:t>
            </w:r>
            <w:r w:rsidR="00F430E2">
              <w:rPr>
                <w:noProof/>
                <w:webHidden/>
              </w:rPr>
              <w:tab/>
            </w:r>
            <w:r w:rsidR="00F430E2">
              <w:rPr>
                <w:noProof/>
                <w:webHidden/>
              </w:rPr>
              <w:fldChar w:fldCharType="begin"/>
            </w:r>
            <w:r w:rsidR="00F430E2">
              <w:rPr>
                <w:noProof/>
                <w:webHidden/>
              </w:rPr>
              <w:instrText xml:space="preserve"> PAGEREF _Toc419192158 \h </w:instrText>
            </w:r>
            <w:r w:rsidR="00F430E2">
              <w:rPr>
                <w:noProof/>
                <w:webHidden/>
              </w:rPr>
            </w:r>
            <w:r w:rsidR="00F430E2">
              <w:rPr>
                <w:noProof/>
                <w:webHidden/>
              </w:rPr>
              <w:fldChar w:fldCharType="separate"/>
            </w:r>
            <w:r w:rsidR="000475FE">
              <w:rPr>
                <w:noProof/>
                <w:webHidden/>
              </w:rPr>
              <w:t>25</w:t>
            </w:r>
            <w:r w:rsidR="00F430E2">
              <w:rPr>
                <w:noProof/>
                <w:webHidden/>
              </w:rPr>
              <w:fldChar w:fldCharType="end"/>
            </w:r>
          </w:hyperlink>
        </w:p>
        <w:p w:rsidR="00F430E2" w:rsidRDefault="00704C63">
          <w:pPr>
            <w:pStyle w:val="TOC2"/>
            <w:tabs>
              <w:tab w:val="right" w:leader="dot" w:pos="8908"/>
            </w:tabs>
            <w:rPr>
              <w:rFonts w:asciiTheme="minorHAnsi" w:eastAsiaTheme="minorEastAsia" w:hAnsiTheme="minorHAnsi" w:cstheme="minorBidi"/>
              <w:noProof/>
              <w:color w:val="auto"/>
              <w:sz w:val="22"/>
              <w:szCs w:val="22"/>
            </w:rPr>
          </w:pPr>
          <w:hyperlink w:anchor="_Toc419192159" w:history="1">
            <w:r w:rsidR="00F430E2" w:rsidRPr="00BC1893">
              <w:rPr>
                <w:rStyle w:val="Hyperlink"/>
                <w:rFonts w:ascii="Arial" w:hAnsi="Arial" w:cs="Arial"/>
                <w:noProof/>
              </w:rPr>
              <w:t>2.8. Program Obzor 2020.</w:t>
            </w:r>
            <w:r w:rsidR="00F430E2">
              <w:rPr>
                <w:noProof/>
                <w:webHidden/>
              </w:rPr>
              <w:tab/>
            </w:r>
            <w:r w:rsidR="00F430E2">
              <w:rPr>
                <w:noProof/>
                <w:webHidden/>
              </w:rPr>
              <w:fldChar w:fldCharType="begin"/>
            </w:r>
            <w:r w:rsidR="00F430E2">
              <w:rPr>
                <w:noProof/>
                <w:webHidden/>
              </w:rPr>
              <w:instrText xml:space="preserve"> PAGEREF _Toc419192159 \h </w:instrText>
            </w:r>
            <w:r w:rsidR="00F430E2">
              <w:rPr>
                <w:noProof/>
                <w:webHidden/>
              </w:rPr>
            </w:r>
            <w:r w:rsidR="00F430E2">
              <w:rPr>
                <w:noProof/>
                <w:webHidden/>
              </w:rPr>
              <w:fldChar w:fldCharType="separate"/>
            </w:r>
            <w:r w:rsidR="000475FE">
              <w:rPr>
                <w:noProof/>
                <w:webHidden/>
              </w:rPr>
              <w:t>28</w:t>
            </w:r>
            <w:r w:rsidR="00F430E2">
              <w:rPr>
                <w:noProof/>
                <w:webHidden/>
              </w:rPr>
              <w:fldChar w:fldCharType="end"/>
            </w:r>
          </w:hyperlink>
        </w:p>
        <w:p w:rsidR="00F430E2" w:rsidRDefault="00704C63">
          <w:pPr>
            <w:pStyle w:val="TOC2"/>
            <w:tabs>
              <w:tab w:val="right" w:leader="dot" w:pos="8908"/>
            </w:tabs>
            <w:rPr>
              <w:rFonts w:asciiTheme="minorHAnsi" w:eastAsiaTheme="minorEastAsia" w:hAnsiTheme="minorHAnsi" w:cstheme="minorBidi"/>
              <w:noProof/>
              <w:color w:val="auto"/>
              <w:sz w:val="22"/>
              <w:szCs w:val="22"/>
            </w:rPr>
          </w:pPr>
          <w:hyperlink w:anchor="_Toc419192160" w:history="1">
            <w:r w:rsidR="00F430E2" w:rsidRPr="00BC1893">
              <w:rPr>
                <w:rStyle w:val="Hyperlink"/>
                <w:rFonts w:ascii="Arial" w:hAnsi="Arial" w:cs="Arial"/>
                <w:noProof/>
              </w:rPr>
              <w:t>2.9. Sedmi okvirni program za istraživanje i tehnološki razvoj (FP7)</w:t>
            </w:r>
            <w:r w:rsidR="00F430E2">
              <w:rPr>
                <w:noProof/>
                <w:webHidden/>
              </w:rPr>
              <w:tab/>
            </w:r>
            <w:r w:rsidR="00F430E2">
              <w:rPr>
                <w:noProof/>
                <w:webHidden/>
              </w:rPr>
              <w:fldChar w:fldCharType="begin"/>
            </w:r>
            <w:r w:rsidR="00F430E2">
              <w:rPr>
                <w:noProof/>
                <w:webHidden/>
              </w:rPr>
              <w:instrText xml:space="preserve"> PAGEREF _Toc419192160 \h </w:instrText>
            </w:r>
            <w:r w:rsidR="00F430E2">
              <w:rPr>
                <w:noProof/>
                <w:webHidden/>
              </w:rPr>
            </w:r>
            <w:r w:rsidR="00F430E2">
              <w:rPr>
                <w:noProof/>
                <w:webHidden/>
              </w:rPr>
              <w:fldChar w:fldCharType="separate"/>
            </w:r>
            <w:r w:rsidR="000475FE">
              <w:rPr>
                <w:noProof/>
                <w:webHidden/>
              </w:rPr>
              <w:t>31</w:t>
            </w:r>
            <w:r w:rsidR="00F430E2">
              <w:rPr>
                <w:noProof/>
                <w:webHidden/>
              </w:rPr>
              <w:fldChar w:fldCharType="end"/>
            </w:r>
          </w:hyperlink>
        </w:p>
        <w:p w:rsidR="00F430E2" w:rsidRDefault="00704C63">
          <w:pPr>
            <w:pStyle w:val="TOC2"/>
            <w:tabs>
              <w:tab w:val="right" w:leader="dot" w:pos="8908"/>
            </w:tabs>
            <w:rPr>
              <w:rFonts w:asciiTheme="minorHAnsi" w:eastAsiaTheme="minorEastAsia" w:hAnsiTheme="minorHAnsi" w:cstheme="minorBidi"/>
              <w:noProof/>
              <w:color w:val="auto"/>
              <w:sz w:val="22"/>
              <w:szCs w:val="22"/>
            </w:rPr>
          </w:pPr>
          <w:hyperlink w:anchor="_Toc419192161" w:history="1">
            <w:r w:rsidR="00F430E2" w:rsidRPr="00BC1893">
              <w:rPr>
                <w:rStyle w:val="Hyperlink"/>
                <w:rFonts w:ascii="Arial" w:hAnsi="Arial" w:cs="Arial"/>
                <w:noProof/>
              </w:rPr>
              <w:t>2.10. Suradnja i izvještavanje spram drugih tijela državne i javne uprave</w:t>
            </w:r>
            <w:r w:rsidR="00F430E2">
              <w:rPr>
                <w:noProof/>
                <w:webHidden/>
              </w:rPr>
              <w:tab/>
            </w:r>
            <w:r w:rsidR="00F430E2">
              <w:rPr>
                <w:noProof/>
                <w:webHidden/>
              </w:rPr>
              <w:fldChar w:fldCharType="begin"/>
            </w:r>
            <w:r w:rsidR="00F430E2">
              <w:rPr>
                <w:noProof/>
                <w:webHidden/>
              </w:rPr>
              <w:instrText xml:space="preserve"> PAGEREF _Toc419192161 \h </w:instrText>
            </w:r>
            <w:r w:rsidR="00F430E2">
              <w:rPr>
                <w:noProof/>
                <w:webHidden/>
              </w:rPr>
            </w:r>
            <w:r w:rsidR="00F430E2">
              <w:rPr>
                <w:noProof/>
                <w:webHidden/>
              </w:rPr>
              <w:fldChar w:fldCharType="separate"/>
            </w:r>
            <w:r w:rsidR="000475FE">
              <w:rPr>
                <w:noProof/>
                <w:webHidden/>
              </w:rPr>
              <w:t>31</w:t>
            </w:r>
            <w:r w:rsidR="00F430E2">
              <w:rPr>
                <w:noProof/>
                <w:webHidden/>
              </w:rPr>
              <w:fldChar w:fldCharType="end"/>
            </w:r>
          </w:hyperlink>
        </w:p>
        <w:p w:rsidR="00F430E2" w:rsidRDefault="00704C63">
          <w:pPr>
            <w:pStyle w:val="TOC1"/>
            <w:tabs>
              <w:tab w:val="left" w:pos="480"/>
              <w:tab w:val="right" w:leader="dot" w:pos="8908"/>
            </w:tabs>
            <w:rPr>
              <w:rFonts w:asciiTheme="minorHAnsi" w:eastAsiaTheme="minorEastAsia" w:hAnsiTheme="minorHAnsi" w:cstheme="minorBidi"/>
              <w:noProof/>
              <w:color w:val="auto"/>
              <w:sz w:val="22"/>
              <w:szCs w:val="22"/>
            </w:rPr>
          </w:pPr>
          <w:hyperlink w:anchor="_Toc419192162" w:history="1">
            <w:r w:rsidR="00F430E2" w:rsidRPr="00BC1893">
              <w:rPr>
                <w:rStyle w:val="Hyperlink"/>
                <w:rFonts w:ascii="Arial" w:hAnsi="Arial" w:cs="Arial"/>
                <w:noProof/>
              </w:rPr>
              <w:t>3.</w:t>
            </w:r>
            <w:r w:rsidR="00F430E2">
              <w:rPr>
                <w:rFonts w:asciiTheme="minorHAnsi" w:eastAsiaTheme="minorEastAsia" w:hAnsiTheme="minorHAnsi" w:cstheme="minorBidi"/>
                <w:noProof/>
                <w:color w:val="auto"/>
                <w:sz w:val="22"/>
                <w:szCs w:val="22"/>
              </w:rPr>
              <w:tab/>
            </w:r>
            <w:r w:rsidR="00F430E2" w:rsidRPr="00BC1893">
              <w:rPr>
                <w:rStyle w:val="Hyperlink"/>
                <w:rFonts w:ascii="Arial" w:hAnsi="Arial" w:cs="Arial"/>
                <w:noProof/>
              </w:rPr>
              <w:t>Proširenje djelatnosti i razvojne aktivnosti</w:t>
            </w:r>
            <w:r w:rsidR="00F430E2">
              <w:rPr>
                <w:noProof/>
                <w:webHidden/>
              </w:rPr>
              <w:tab/>
            </w:r>
            <w:r w:rsidR="00F430E2">
              <w:rPr>
                <w:noProof/>
                <w:webHidden/>
              </w:rPr>
              <w:fldChar w:fldCharType="begin"/>
            </w:r>
            <w:r w:rsidR="00F430E2">
              <w:rPr>
                <w:noProof/>
                <w:webHidden/>
              </w:rPr>
              <w:instrText xml:space="preserve"> PAGEREF _Toc419192162 \h </w:instrText>
            </w:r>
            <w:r w:rsidR="00F430E2">
              <w:rPr>
                <w:noProof/>
                <w:webHidden/>
              </w:rPr>
            </w:r>
            <w:r w:rsidR="00F430E2">
              <w:rPr>
                <w:noProof/>
                <w:webHidden/>
              </w:rPr>
              <w:fldChar w:fldCharType="separate"/>
            </w:r>
            <w:r w:rsidR="000475FE">
              <w:rPr>
                <w:noProof/>
                <w:webHidden/>
              </w:rPr>
              <w:t>33</w:t>
            </w:r>
            <w:r w:rsidR="00F430E2">
              <w:rPr>
                <w:noProof/>
                <w:webHidden/>
              </w:rPr>
              <w:fldChar w:fldCharType="end"/>
            </w:r>
          </w:hyperlink>
        </w:p>
        <w:p w:rsidR="00F430E2" w:rsidRDefault="00704C63">
          <w:pPr>
            <w:pStyle w:val="TOC1"/>
            <w:tabs>
              <w:tab w:val="left" w:pos="480"/>
              <w:tab w:val="right" w:leader="dot" w:pos="8908"/>
            </w:tabs>
            <w:rPr>
              <w:rFonts w:asciiTheme="minorHAnsi" w:eastAsiaTheme="minorEastAsia" w:hAnsiTheme="minorHAnsi" w:cstheme="minorBidi"/>
              <w:noProof/>
              <w:color w:val="auto"/>
              <w:sz w:val="22"/>
              <w:szCs w:val="22"/>
            </w:rPr>
          </w:pPr>
          <w:hyperlink w:anchor="_Toc419192163" w:history="1">
            <w:r w:rsidR="00F430E2" w:rsidRPr="00BC1893">
              <w:rPr>
                <w:rStyle w:val="Hyperlink"/>
                <w:rFonts w:ascii="Arial" w:hAnsi="Arial" w:cs="Arial"/>
                <w:noProof/>
              </w:rPr>
              <w:t>4.</w:t>
            </w:r>
            <w:r w:rsidR="00F430E2">
              <w:rPr>
                <w:rFonts w:asciiTheme="minorHAnsi" w:eastAsiaTheme="minorEastAsia" w:hAnsiTheme="minorHAnsi" w:cstheme="minorBidi"/>
                <w:noProof/>
                <w:color w:val="auto"/>
                <w:sz w:val="22"/>
                <w:szCs w:val="22"/>
              </w:rPr>
              <w:tab/>
            </w:r>
            <w:r w:rsidR="00F430E2" w:rsidRPr="00BC1893">
              <w:rPr>
                <w:rStyle w:val="Hyperlink"/>
                <w:rFonts w:ascii="Arial" w:hAnsi="Arial" w:cs="Arial"/>
                <w:noProof/>
              </w:rPr>
              <w:t>Integrirani sustav kontrole</w:t>
            </w:r>
            <w:r w:rsidR="00F430E2">
              <w:rPr>
                <w:noProof/>
                <w:webHidden/>
              </w:rPr>
              <w:tab/>
            </w:r>
            <w:r w:rsidR="00F430E2">
              <w:rPr>
                <w:noProof/>
                <w:webHidden/>
              </w:rPr>
              <w:fldChar w:fldCharType="begin"/>
            </w:r>
            <w:r w:rsidR="00F430E2">
              <w:rPr>
                <w:noProof/>
                <w:webHidden/>
              </w:rPr>
              <w:instrText xml:space="preserve"> PAGEREF _Toc419192163 \h </w:instrText>
            </w:r>
            <w:r w:rsidR="00F430E2">
              <w:rPr>
                <w:noProof/>
                <w:webHidden/>
              </w:rPr>
            </w:r>
            <w:r w:rsidR="00F430E2">
              <w:rPr>
                <w:noProof/>
                <w:webHidden/>
              </w:rPr>
              <w:fldChar w:fldCharType="separate"/>
            </w:r>
            <w:r w:rsidR="000475FE">
              <w:rPr>
                <w:noProof/>
                <w:webHidden/>
              </w:rPr>
              <w:t>35</w:t>
            </w:r>
            <w:r w:rsidR="00F430E2">
              <w:rPr>
                <w:noProof/>
                <w:webHidden/>
              </w:rPr>
              <w:fldChar w:fldCharType="end"/>
            </w:r>
          </w:hyperlink>
        </w:p>
        <w:p w:rsidR="00F430E2" w:rsidRDefault="00704C63">
          <w:pPr>
            <w:pStyle w:val="TOC1"/>
            <w:tabs>
              <w:tab w:val="left" w:pos="480"/>
              <w:tab w:val="right" w:leader="dot" w:pos="8908"/>
            </w:tabs>
            <w:rPr>
              <w:rFonts w:asciiTheme="minorHAnsi" w:eastAsiaTheme="minorEastAsia" w:hAnsiTheme="minorHAnsi" w:cstheme="minorBidi"/>
              <w:noProof/>
              <w:color w:val="auto"/>
              <w:sz w:val="22"/>
              <w:szCs w:val="22"/>
            </w:rPr>
          </w:pPr>
          <w:hyperlink w:anchor="_Toc419192164" w:history="1">
            <w:r w:rsidR="00F430E2" w:rsidRPr="00BC1893">
              <w:rPr>
                <w:rStyle w:val="Hyperlink"/>
                <w:rFonts w:ascii="Arial" w:hAnsi="Arial" w:cs="Arial"/>
                <w:noProof/>
              </w:rPr>
              <w:t>5.</w:t>
            </w:r>
            <w:r w:rsidR="00F430E2">
              <w:rPr>
                <w:rFonts w:asciiTheme="minorHAnsi" w:eastAsiaTheme="minorEastAsia" w:hAnsiTheme="minorHAnsi" w:cstheme="minorBidi"/>
                <w:noProof/>
                <w:color w:val="auto"/>
                <w:sz w:val="22"/>
                <w:szCs w:val="22"/>
              </w:rPr>
              <w:tab/>
            </w:r>
            <w:r w:rsidR="00F430E2" w:rsidRPr="00BC1893">
              <w:rPr>
                <w:rStyle w:val="Hyperlink"/>
                <w:rFonts w:ascii="Arial" w:hAnsi="Arial" w:cs="Arial"/>
                <w:noProof/>
              </w:rPr>
              <w:t>Organizacijske aktivnosti</w:t>
            </w:r>
            <w:r w:rsidR="00F430E2">
              <w:rPr>
                <w:noProof/>
                <w:webHidden/>
              </w:rPr>
              <w:tab/>
            </w:r>
            <w:r w:rsidR="00F430E2">
              <w:rPr>
                <w:noProof/>
                <w:webHidden/>
              </w:rPr>
              <w:fldChar w:fldCharType="begin"/>
            </w:r>
            <w:r w:rsidR="00F430E2">
              <w:rPr>
                <w:noProof/>
                <w:webHidden/>
              </w:rPr>
              <w:instrText xml:space="preserve"> PAGEREF _Toc419192164 \h </w:instrText>
            </w:r>
            <w:r w:rsidR="00F430E2">
              <w:rPr>
                <w:noProof/>
                <w:webHidden/>
              </w:rPr>
            </w:r>
            <w:r w:rsidR="00F430E2">
              <w:rPr>
                <w:noProof/>
                <w:webHidden/>
              </w:rPr>
              <w:fldChar w:fldCharType="separate"/>
            </w:r>
            <w:r w:rsidR="000475FE">
              <w:rPr>
                <w:noProof/>
                <w:webHidden/>
              </w:rPr>
              <w:t>37</w:t>
            </w:r>
            <w:r w:rsidR="00F430E2">
              <w:rPr>
                <w:noProof/>
                <w:webHidden/>
              </w:rPr>
              <w:fldChar w:fldCharType="end"/>
            </w:r>
          </w:hyperlink>
        </w:p>
        <w:p w:rsidR="00F430E2" w:rsidRDefault="00704C63">
          <w:pPr>
            <w:pStyle w:val="TOC2"/>
            <w:tabs>
              <w:tab w:val="right" w:leader="dot" w:pos="8908"/>
            </w:tabs>
            <w:rPr>
              <w:rFonts w:asciiTheme="minorHAnsi" w:eastAsiaTheme="minorEastAsia" w:hAnsiTheme="minorHAnsi" w:cstheme="minorBidi"/>
              <w:noProof/>
              <w:color w:val="auto"/>
              <w:sz w:val="22"/>
              <w:szCs w:val="22"/>
            </w:rPr>
          </w:pPr>
          <w:hyperlink w:anchor="_Toc419192165" w:history="1">
            <w:r w:rsidR="00F430E2" w:rsidRPr="00BC1893">
              <w:rPr>
                <w:rStyle w:val="Hyperlink"/>
                <w:rFonts w:ascii="Arial" w:hAnsi="Arial" w:cs="Arial"/>
                <w:noProof/>
              </w:rPr>
              <w:t>5.1. Upravljanje ljudskim potencijalima</w:t>
            </w:r>
            <w:r w:rsidR="00F430E2">
              <w:rPr>
                <w:noProof/>
                <w:webHidden/>
              </w:rPr>
              <w:tab/>
            </w:r>
            <w:r w:rsidR="00F430E2">
              <w:rPr>
                <w:noProof/>
                <w:webHidden/>
              </w:rPr>
              <w:fldChar w:fldCharType="begin"/>
            </w:r>
            <w:r w:rsidR="00F430E2">
              <w:rPr>
                <w:noProof/>
                <w:webHidden/>
              </w:rPr>
              <w:instrText xml:space="preserve"> PAGEREF _Toc419192165 \h </w:instrText>
            </w:r>
            <w:r w:rsidR="00F430E2">
              <w:rPr>
                <w:noProof/>
                <w:webHidden/>
              </w:rPr>
            </w:r>
            <w:r w:rsidR="00F430E2">
              <w:rPr>
                <w:noProof/>
                <w:webHidden/>
              </w:rPr>
              <w:fldChar w:fldCharType="separate"/>
            </w:r>
            <w:r w:rsidR="000475FE">
              <w:rPr>
                <w:noProof/>
                <w:webHidden/>
              </w:rPr>
              <w:t>37</w:t>
            </w:r>
            <w:r w:rsidR="00F430E2">
              <w:rPr>
                <w:noProof/>
                <w:webHidden/>
              </w:rPr>
              <w:fldChar w:fldCharType="end"/>
            </w:r>
          </w:hyperlink>
        </w:p>
        <w:p w:rsidR="00F430E2" w:rsidRDefault="00704C63">
          <w:pPr>
            <w:pStyle w:val="TOC2"/>
            <w:tabs>
              <w:tab w:val="right" w:leader="dot" w:pos="8908"/>
            </w:tabs>
            <w:rPr>
              <w:rFonts w:asciiTheme="minorHAnsi" w:eastAsiaTheme="minorEastAsia" w:hAnsiTheme="minorHAnsi" w:cstheme="minorBidi"/>
              <w:noProof/>
              <w:color w:val="auto"/>
              <w:sz w:val="22"/>
              <w:szCs w:val="22"/>
            </w:rPr>
          </w:pPr>
          <w:hyperlink w:anchor="_Toc419192166" w:history="1">
            <w:r w:rsidR="00F430E2" w:rsidRPr="00BC1893">
              <w:rPr>
                <w:rStyle w:val="Hyperlink"/>
                <w:rFonts w:ascii="Arial" w:eastAsia="SimSun" w:hAnsi="Arial" w:cs="Arial"/>
                <w:noProof/>
                <w:lang w:eastAsia="en-US"/>
              </w:rPr>
              <w:t>5.2. Maksimizacija korištenja IT sustava</w:t>
            </w:r>
            <w:r w:rsidR="00F430E2">
              <w:rPr>
                <w:noProof/>
                <w:webHidden/>
              </w:rPr>
              <w:tab/>
            </w:r>
            <w:r w:rsidR="00F430E2">
              <w:rPr>
                <w:noProof/>
                <w:webHidden/>
              </w:rPr>
              <w:fldChar w:fldCharType="begin"/>
            </w:r>
            <w:r w:rsidR="00F430E2">
              <w:rPr>
                <w:noProof/>
                <w:webHidden/>
              </w:rPr>
              <w:instrText xml:space="preserve"> PAGEREF _Toc419192166 \h </w:instrText>
            </w:r>
            <w:r w:rsidR="00F430E2">
              <w:rPr>
                <w:noProof/>
                <w:webHidden/>
              </w:rPr>
            </w:r>
            <w:r w:rsidR="00F430E2">
              <w:rPr>
                <w:noProof/>
                <w:webHidden/>
              </w:rPr>
              <w:fldChar w:fldCharType="separate"/>
            </w:r>
            <w:r w:rsidR="000475FE">
              <w:rPr>
                <w:noProof/>
                <w:webHidden/>
              </w:rPr>
              <w:t>40</w:t>
            </w:r>
            <w:r w:rsidR="00F430E2">
              <w:rPr>
                <w:noProof/>
                <w:webHidden/>
              </w:rPr>
              <w:fldChar w:fldCharType="end"/>
            </w:r>
          </w:hyperlink>
        </w:p>
        <w:p w:rsidR="00F430E2" w:rsidRDefault="00704C63">
          <w:pPr>
            <w:pStyle w:val="TOC2"/>
            <w:tabs>
              <w:tab w:val="right" w:leader="dot" w:pos="8908"/>
            </w:tabs>
            <w:rPr>
              <w:rFonts w:asciiTheme="minorHAnsi" w:eastAsiaTheme="minorEastAsia" w:hAnsiTheme="minorHAnsi" w:cstheme="minorBidi"/>
              <w:noProof/>
              <w:color w:val="auto"/>
              <w:sz w:val="22"/>
              <w:szCs w:val="22"/>
            </w:rPr>
          </w:pPr>
          <w:hyperlink w:anchor="_Toc419192167" w:history="1">
            <w:r w:rsidR="00F430E2" w:rsidRPr="00BC1893">
              <w:rPr>
                <w:rStyle w:val="Hyperlink"/>
                <w:rFonts w:ascii="Arial" w:eastAsia="SimSun" w:hAnsi="Arial" w:cs="Arial"/>
                <w:noProof/>
                <w:lang w:eastAsia="en-US"/>
              </w:rPr>
              <w:t>5.3. Prijenos informacija</w:t>
            </w:r>
            <w:r w:rsidR="00F430E2">
              <w:rPr>
                <w:noProof/>
                <w:webHidden/>
              </w:rPr>
              <w:tab/>
            </w:r>
            <w:r w:rsidR="00F430E2">
              <w:rPr>
                <w:noProof/>
                <w:webHidden/>
              </w:rPr>
              <w:fldChar w:fldCharType="begin"/>
            </w:r>
            <w:r w:rsidR="00F430E2">
              <w:rPr>
                <w:noProof/>
                <w:webHidden/>
              </w:rPr>
              <w:instrText xml:space="preserve"> PAGEREF _Toc419192167 \h </w:instrText>
            </w:r>
            <w:r w:rsidR="00F430E2">
              <w:rPr>
                <w:noProof/>
                <w:webHidden/>
              </w:rPr>
            </w:r>
            <w:r w:rsidR="00F430E2">
              <w:rPr>
                <w:noProof/>
                <w:webHidden/>
              </w:rPr>
              <w:fldChar w:fldCharType="separate"/>
            </w:r>
            <w:r w:rsidR="000475FE">
              <w:rPr>
                <w:noProof/>
                <w:webHidden/>
              </w:rPr>
              <w:t>40</w:t>
            </w:r>
            <w:r w:rsidR="00F430E2">
              <w:rPr>
                <w:noProof/>
                <w:webHidden/>
              </w:rPr>
              <w:fldChar w:fldCharType="end"/>
            </w:r>
          </w:hyperlink>
        </w:p>
        <w:p w:rsidR="00F430E2" w:rsidRDefault="00704C63">
          <w:pPr>
            <w:pStyle w:val="TOC2"/>
            <w:tabs>
              <w:tab w:val="right" w:leader="dot" w:pos="8908"/>
            </w:tabs>
            <w:rPr>
              <w:rFonts w:asciiTheme="minorHAnsi" w:eastAsiaTheme="minorEastAsia" w:hAnsiTheme="minorHAnsi" w:cstheme="minorBidi"/>
              <w:noProof/>
              <w:color w:val="auto"/>
              <w:sz w:val="22"/>
              <w:szCs w:val="22"/>
            </w:rPr>
          </w:pPr>
          <w:hyperlink w:anchor="_Toc419192168" w:history="1">
            <w:r w:rsidR="00F430E2" w:rsidRPr="00BC1893">
              <w:rPr>
                <w:rStyle w:val="Hyperlink"/>
                <w:rFonts w:ascii="Arial" w:eastAsia="SimSun" w:hAnsi="Arial" w:cs="Arial"/>
                <w:noProof/>
                <w:lang w:eastAsia="en-US"/>
              </w:rPr>
              <w:t>5.4. Unutarnja revizija i osiguranje kvalitete</w:t>
            </w:r>
            <w:r w:rsidR="00F430E2">
              <w:rPr>
                <w:noProof/>
                <w:webHidden/>
              </w:rPr>
              <w:tab/>
            </w:r>
            <w:r w:rsidR="00F430E2">
              <w:rPr>
                <w:noProof/>
                <w:webHidden/>
              </w:rPr>
              <w:fldChar w:fldCharType="begin"/>
            </w:r>
            <w:r w:rsidR="00F430E2">
              <w:rPr>
                <w:noProof/>
                <w:webHidden/>
              </w:rPr>
              <w:instrText xml:space="preserve"> PAGEREF _Toc419192168 \h </w:instrText>
            </w:r>
            <w:r w:rsidR="00F430E2">
              <w:rPr>
                <w:noProof/>
                <w:webHidden/>
              </w:rPr>
            </w:r>
            <w:r w:rsidR="00F430E2">
              <w:rPr>
                <w:noProof/>
                <w:webHidden/>
              </w:rPr>
              <w:fldChar w:fldCharType="separate"/>
            </w:r>
            <w:r w:rsidR="000475FE">
              <w:rPr>
                <w:noProof/>
                <w:webHidden/>
              </w:rPr>
              <w:t>40</w:t>
            </w:r>
            <w:r w:rsidR="00F430E2">
              <w:rPr>
                <w:noProof/>
                <w:webHidden/>
              </w:rPr>
              <w:fldChar w:fldCharType="end"/>
            </w:r>
          </w:hyperlink>
        </w:p>
        <w:p w:rsidR="00F430E2" w:rsidRDefault="00704C63">
          <w:pPr>
            <w:pStyle w:val="TOC1"/>
            <w:tabs>
              <w:tab w:val="left" w:pos="480"/>
              <w:tab w:val="right" w:leader="dot" w:pos="8908"/>
            </w:tabs>
            <w:rPr>
              <w:rFonts w:asciiTheme="minorHAnsi" w:eastAsiaTheme="minorEastAsia" w:hAnsiTheme="minorHAnsi" w:cstheme="minorBidi"/>
              <w:noProof/>
              <w:color w:val="auto"/>
              <w:sz w:val="22"/>
              <w:szCs w:val="22"/>
            </w:rPr>
          </w:pPr>
          <w:hyperlink w:anchor="_Toc419192169" w:history="1">
            <w:r w:rsidR="00F430E2" w:rsidRPr="00BC1893">
              <w:rPr>
                <w:rStyle w:val="Hyperlink"/>
                <w:rFonts w:ascii="Arial" w:hAnsi="Arial" w:cs="Arial"/>
                <w:noProof/>
              </w:rPr>
              <w:t>6.</w:t>
            </w:r>
            <w:r w:rsidR="00F430E2">
              <w:rPr>
                <w:rFonts w:asciiTheme="minorHAnsi" w:eastAsiaTheme="minorEastAsia" w:hAnsiTheme="minorHAnsi" w:cstheme="minorBidi"/>
                <w:noProof/>
                <w:color w:val="auto"/>
                <w:sz w:val="22"/>
                <w:szCs w:val="22"/>
              </w:rPr>
              <w:tab/>
            </w:r>
            <w:r w:rsidR="00F430E2" w:rsidRPr="00BC1893">
              <w:rPr>
                <w:rStyle w:val="Hyperlink"/>
                <w:rFonts w:ascii="Arial" w:hAnsi="Arial" w:cs="Arial"/>
                <w:noProof/>
              </w:rPr>
              <w:t>Statistike</w:t>
            </w:r>
            <w:r w:rsidR="00F430E2">
              <w:rPr>
                <w:noProof/>
                <w:webHidden/>
              </w:rPr>
              <w:tab/>
            </w:r>
            <w:r w:rsidR="00F430E2">
              <w:rPr>
                <w:noProof/>
                <w:webHidden/>
              </w:rPr>
              <w:fldChar w:fldCharType="begin"/>
            </w:r>
            <w:r w:rsidR="00F430E2">
              <w:rPr>
                <w:noProof/>
                <w:webHidden/>
              </w:rPr>
              <w:instrText xml:space="preserve"> PAGEREF _Toc419192169 \h </w:instrText>
            </w:r>
            <w:r w:rsidR="00F430E2">
              <w:rPr>
                <w:noProof/>
                <w:webHidden/>
              </w:rPr>
            </w:r>
            <w:r w:rsidR="00F430E2">
              <w:rPr>
                <w:noProof/>
                <w:webHidden/>
              </w:rPr>
              <w:fldChar w:fldCharType="separate"/>
            </w:r>
            <w:r w:rsidR="000475FE">
              <w:rPr>
                <w:noProof/>
                <w:webHidden/>
              </w:rPr>
              <w:t>41</w:t>
            </w:r>
            <w:r w:rsidR="00F430E2">
              <w:rPr>
                <w:noProof/>
                <w:webHidden/>
              </w:rPr>
              <w:fldChar w:fldCharType="end"/>
            </w:r>
          </w:hyperlink>
        </w:p>
        <w:p w:rsidR="00601741" w:rsidRPr="00E85451" w:rsidRDefault="00601741">
          <w:pPr>
            <w:rPr>
              <w:rFonts w:ascii="Arial" w:hAnsi="Arial" w:cs="Arial"/>
              <w:color w:val="auto"/>
              <w:sz w:val="22"/>
              <w:szCs w:val="22"/>
            </w:rPr>
          </w:pPr>
          <w:r w:rsidRPr="00E85451">
            <w:rPr>
              <w:rFonts w:ascii="Arial" w:hAnsi="Arial" w:cs="Arial"/>
              <w:b/>
              <w:bCs/>
              <w:noProof/>
              <w:color w:val="auto"/>
              <w:sz w:val="22"/>
              <w:szCs w:val="22"/>
            </w:rPr>
            <w:fldChar w:fldCharType="end"/>
          </w:r>
        </w:p>
      </w:sdtContent>
    </w:sdt>
    <w:p w:rsidR="000F3799" w:rsidRPr="00E85451" w:rsidRDefault="00704C63">
      <w:pPr>
        <w:tabs>
          <w:tab w:val="left" w:pos="440"/>
          <w:tab w:val="right" w:pos="8912"/>
        </w:tabs>
        <w:spacing w:line="276" w:lineRule="auto"/>
        <w:rPr>
          <w:rFonts w:ascii="Arial" w:hAnsi="Arial" w:cs="Arial"/>
          <w:color w:val="auto"/>
          <w:sz w:val="22"/>
          <w:szCs w:val="22"/>
        </w:rPr>
      </w:pPr>
      <w:hyperlink w:anchor="h.z337ya"/>
    </w:p>
    <w:p w:rsidR="000F3799" w:rsidRPr="00E85451" w:rsidRDefault="00923EE2">
      <w:pPr>
        <w:spacing w:line="276" w:lineRule="auto"/>
        <w:rPr>
          <w:rFonts w:ascii="Arial" w:hAnsi="Arial" w:cs="Arial"/>
          <w:color w:val="auto"/>
          <w:sz w:val="22"/>
          <w:szCs w:val="22"/>
        </w:rPr>
      </w:pPr>
      <w:r w:rsidRPr="00E85451">
        <w:rPr>
          <w:rFonts w:ascii="Arial" w:eastAsia="Arial" w:hAnsi="Arial" w:cs="Arial"/>
          <w:color w:val="auto"/>
          <w:sz w:val="22"/>
          <w:szCs w:val="22"/>
        </w:rPr>
        <w:t>Privitci</w:t>
      </w:r>
    </w:p>
    <w:p w:rsidR="000F3799" w:rsidRPr="00E85451" w:rsidRDefault="00FF79C5">
      <w:pPr>
        <w:spacing w:line="276" w:lineRule="auto"/>
        <w:ind w:left="426" w:right="-8" w:hanging="359"/>
        <w:rPr>
          <w:rFonts w:ascii="Arial" w:hAnsi="Arial" w:cs="Arial"/>
          <w:color w:val="auto"/>
          <w:sz w:val="22"/>
          <w:szCs w:val="22"/>
        </w:rPr>
      </w:pPr>
      <w:r w:rsidRPr="00E85451">
        <w:rPr>
          <w:rFonts w:ascii="Arial" w:eastAsia="Arial" w:hAnsi="Arial" w:cs="Arial"/>
          <w:color w:val="auto"/>
          <w:sz w:val="22"/>
          <w:szCs w:val="22"/>
        </w:rPr>
        <w:t>1</w:t>
      </w:r>
      <w:r w:rsidR="00923EE2" w:rsidRPr="00E85451">
        <w:rPr>
          <w:rFonts w:ascii="Arial" w:eastAsia="Arial" w:hAnsi="Arial" w:cs="Arial"/>
          <w:color w:val="auto"/>
          <w:sz w:val="22"/>
          <w:szCs w:val="22"/>
        </w:rPr>
        <w:t>.</w:t>
      </w:r>
      <w:r w:rsidR="00923EE2" w:rsidRPr="00E85451">
        <w:rPr>
          <w:rFonts w:ascii="Arial" w:eastAsia="Arial" w:hAnsi="Arial" w:cs="Arial"/>
          <w:color w:val="auto"/>
          <w:sz w:val="22"/>
          <w:szCs w:val="22"/>
        </w:rPr>
        <w:tab/>
      </w:r>
      <w:r w:rsidR="004134D6" w:rsidRPr="00E85451">
        <w:rPr>
          <w:rFonts w:ascii="Arial" w:eastAsia="Arial" w:hAnsi="Arial" w:cs="Arial"/>
          <w:color w:val="auto"/>
          <w:sz w:val="22"/>
          <w:szCs w:val="22"/>
        </w:rPr>
        <w:t xml:space="preserve">Financijsko izvješće za razdoblje od 1.1.2014. do 31.12.2014. </w:t>
      </w:r>
    </w:p>
    <w:p w:rsidR="000F3799" w:rsidRPr="00E85451" w:rsidRDefault="00FF79C5">
      <w:pPr>
        <w:spacing w:line="276" w:lineRule="auto"/>
        <w:ind w:left="426" w:right="-8" w:hanging="359"/>
        <w:rPr>
          <w:rFonts w:ascii="Arial" w:hAnsi="Arial" w:cs="Arial"/>
          <w:color w:val="auto"/>
          <w:sz w:val="22"/>
          <w:szCs w:val="22"/>
        </w:rPr>
      </w:pPr>
      <w:r w:rsidRPr="00E85451">
        <w:rPr>
          <w:rFonts w:ascii="Arial" w:eastAsia="Arial" w:hAnsi="Arial" w:cs="Arial"/>
          <w:color w:val="auto"/>
          <w:sz w:val="22"/>
          <w:szCs w:val="22"/>
        </w:rPr>
        <w:t>2</w:t>
      </w:r>
      <w:r w:rsidR="00923EE2" w:rsidRPr="00E85451">
        <w:rPr>
          <w:rFonts w:ascii="Arial" w:eastAsia="Arial" w:hAnsi="Arial" w:cs="Arial"/>
          <w:color w:val="auto"/>
          <w:sz w:val="22"/>
          <w:szCs w:val="22"/>
        </w:rPr>
        <w:t>.</w:t>
      </w:r>
      <w:r w:rsidR="00923EE2" w:rsidRPr="00E85451">
        <w:rPr>
          <w:rFonts w:ascii="Arial" w:eastAsia="Arial" w:hAnsi="Arial" w:cs="Arial"/>
          <w:color w:val="auto"/>
          <w:sz w:val="22"/>
          <w:szCs w:val="22"/>
        </w:rPr>
        <w:tab/>
      </w:r>
      <w:r w:rsidR="004134D6" w:rsidRPr="00E85451">
        <w:rPr>
          <w:rFonts w:ascii="Arial" w:eastAsia="Arial" w:hAnsi="Arial" w:cs="Arial"/>
          <w:color w:val="auto"/>
          <w:sz w:val="22"/>
          <w:szCs w:val="22"/>
        </w:rPr>
        <w:t>Analiza medijskog publiciteta u 2014. g.</w:t>
      </w:r>
    </w:p>
    <w:p w:rsidR="000F3799" w:rsidRPr="00E85451" w:rsidRDefault="00FF79C5">
      <w:pPr>
        <w:spacing w:line="276" w:lineRule="auto"/>
        <w:ind w:left="426" w:right="-8" w:hanging="359"/>
        <w:rPr>
          <w:rFonts w:ascii="Arial" w:hAnsi="Arial" w:cs="Arial"/>
          <w:color w:val="auto"/>
          <w:sz w:val="22"/>
          <w:szCs w:val="22"/>
        </w:rPr>
      </w:pPr>
      <w:r w:rsidRPr="00E85451">
        <w:rPr>
          <w:rFonts w:ascii="Arial" w:eastAsia="Arial" w:hAnsi="Arial" w:cs="Arial"/>
          <w:color w:val="auto"/>
          <w:sz w:val="22"/>
          <w:szCs w:val="22"/>
        </w:rPr>
        <w:t>3</w:t>
      </w:r>
      <w:r w:rsidR="00923EE2" w:rsidRPr="00E85451">
        <w:rPr>
          <w:rFonts w:ascii="Arial" w:eastAsia="Arial" w:hAnsi="Arial" w:cs="Arial"/>
          <w:color w:val="auto"/>
          <w:sz w:val="22"/>
          <w:szCs w:val="22"/>
        </w:rPr>
        <w:t>.</w:t>
      </w:r>
      <w:r w:rsidR="00923EE2" w:rsidRPr="00E85451">
        <w:rPr>
          <w:rFonts w:ascii="Arial" w:eastAsia="Arial" w:hAnsi="Arial" w:cs="Arial"/>
          <w:color w:val="auto"/>
          <w:sz w:val="22"/>
          <w:szCs w:val="22"/>
        </w:rPr>
        <w:tab/>
        <w:t xml:space="preserve">Lista događanja u organizaciji Agencije za mobilnost i programe </w:t>
      </w:r>
      <w:r w:rsidRPr="00E85451">
        <w:rPr>
          <w:rFonts w:ascii="Arial" w:eastAsia="Arial" w:hAnsi="Arial" w:cs="Arial"/>
          <w:color w:val="auto"/>
          <w:sz w:val="22"/>
          <w:szCs w:val="22"/>
        </w:rPr>
        <w:t>EU</w:t>
      </w:r>
      <w:r w:rsidR="00DF0530" w:rsidRPr="00E85451">
        <w:rPr>
          <w:rFonts w:ascii="Arial" w:eastAsia="Arial" w:hAnsi="Arial" w:cs="Arial"/>
          <w:color w:val="auto"/>
          <w:sz w:val="22"/>
          <w:szCs w:val="22"/>
        </w:rPr>
        <w:t xml:space="preserve"> i lista gostovanja</w:t>
      </w:r>
      <w:r w:rsidR="004134D6" w:rsidRPr="00E85451">
        <w:rPr>
          <w:rFonts w:ascii="Arial" w:eastAsia="Arial" w:hAnsi="Arial" w:cs="Arial"/>
          <w:color w:val="auto"/>
          <w:sz w:val="22"/>
          <w:szCs w:val="22"/>
        </w:rPr>
        <w:t xml:space="preserve"> </w:t>
      </w:r>
    </w:p>
    <w:p w:rsidR="000F3799" w:rsidRPr="00E85451" w:rsidRDefault="00FF79C5">
      <w:pPr>
        <w:spacing w:line="276" w:lineRule="auto"/>
        <w:ind w:left="426" w:right="-8" w:hanging="359"/>
        <w:rPr>
          <w:rFonts w:ascii="Arial" w:hAnsi="Arial" w:cs="Arial"/>
          <w:color w:val="auto"/>
          <w:sz w:val="22"/>
          <w:szCs w:val="22"/>
        </w:rPr>
      </w:pPr>
      <w:r w:rsidRPr="00E85451">
        <w:rPr>
          <w:rFonts w:ascii="Arial" w:eastAsia="Arial" w:hAnsi="Arial" w:cs="Arial"/>
          <w:color w:val="auto"/>
          <w:sz w:val="22"/>
          <w:szCs w:val="22"/>
        </w:rPr>
        <w:t>4</w:t>
      </w:r>
      <w:r w:rsidR="00923EE2" w:rsidRPr="00E85451">
        <w:rPr>
          <w:rFonts w:ascii="Arial" w:eastAsia="Arial" w:hAnsi="Arial" w:cs="Arial"/>
          <w:color w:val="auto"/>
          <w:sz w:val="22"/>
          <w:szCs w:val="22"/>
        </w:rPr>
        <w:t>.</w:t>
      </w:r>
      <w:r w:rsidR="00923EE2" w:rsidRPr="00E85451">
        <w:rPr>
          <w:rFonts w:ascii="Arial" w:eastAsia="Arial" w:hAnsi="Arial" w:cs="Arial"/>
          <w:color w:val="auto"/>
          <w:sz w:val="22"/>
          <w:szCs w:val="22"/>
        </w:rPr>
        <w:tab/>
        <w:t>Popis odobrenih i f</w:t>
      </w:r>
      <w:r w:rsidR="00DF110F" w:rsidRPr="00E85451">
        <w:rPr>
          <w:rFonts w:ascii="Arial" w:eastAsia="Arial" w:hAnsi="Arial" w:cs="Arial"/>
          <w:color w:val="auto"/>
          <w:sz w:val="22"/>
          <w:szCs w:val="22"/>
        </w:rPr>
        <w:t>inanciranih projekata u okviru p</w:t>
      </w:r>
      <w:r w:rsidR="00923EE2" w:rsidRPr="00E85451">
        <w:rPr>
          <w:rFonts w:ascii="Arial" w:eastAsia="Arial" w:hAnsi="Arial" w:cs="Arial"/>
          <w:color w:val="auto"/>
          <w:sz w:val="22"/>
          <w:szCs w:val="22"/>
        </w:rPr>
        <w:t>r</w:t>
      </w:r>
      <w:r w:rsidR="00292521" w:rsidRPr="00E85451">
        <w:rPr>
          <w:rFonts w:ascii="Arial" w:eastAsia="Arial" w:hAnsi="Arial" w:cs="Arial"/>
          <w:color w:val="auto"/>
          <w:sz w:val="22"/>
          <w:szCs w:val="22"/>
        </w:rPr>
        <w:t xml:space="preserve">ograma </w:t>
      </w:r>
      <w:r w:rsidRPr="00E85451">
        <w:rPr>
          <w:rFonts w:ascii="Arial" w:eastAsia="Arial" w:hAnsi="Arial" w:cs="Arial"/>
          <w:color w:val="auto"/>
          <w:sz w:val="22"/>
          <w:szCs w:val="22"/>
        </w:rPr>
        <w:t>Erasmus</w:t>
      </w:r>
      <w:r w:rsidR="00186BA7" w:rsidRPr="00E85451">
        <w:rPr>
          <w:rFonts w:ascii="Arial" w:eastAsia="Arial" w:hAnsi="Arial" w:cs="Arial"/>
          <w:color w:val="auto"/>
          <w:sz w:val="22"/>
          <w:szCs w:val="22"/>
        </w:rPr>
        <w:t>+</w:t>
      </w:r>
    </w:p>
    <w:p w:rsidR="000F3799" w:rsidRPr="00E85451" w:rsidRDefault="00FF79C5" w:rsidP="00CF440A">
      <w:pPr>
        <w:spacing w:line="276" w:lineRule="auto"/>
        <w:ind w:left="426" w:right="-8" w:hanging="359"/>
        <w:rPr>
          <w:rFonts w:ascii="Arial" w:eastAsia="Arial" w:hAnsi="Arial" w:cs="Arial"/>
          <w:color w:val="auto"/>
          <w:sz w:val="22"/>
          <w:szCs w:val="22"/>
        </w:rPr>
      </w:pPr>
      <w:r w:rsidRPr="00E85451">
        <w:rPr>
          <w:rFonts w:ascii="Arial" w:eastAsia="Arial" w:hAnsi="Arial" w:cs="Arial"/>
          <w:color w:val="auto"/>
          <w:sz w:val="22"/>
          <w:szCs w:val="22"/>
        </w:rPr>
        <w:t>5</w:t>
      </w:r>
      <w:r w:rsidR="00923EE2" w:rsidRPr="00E85451">
        <w:rPr>
          <w:rFonts w:ascii="Arial" w:eastAsia="Arial" w:hAnsi="Arial" w:cs="Arial"/>
          <w:color w:val="auto"/>
          <w:sz w:val="22"/>
          <w:szCs w:val="22"/>
        </w:rPr>
        <w:t>.</w:t>
      </w:r>
      <w:r w:rsidR="00923EE2" w:rsidRPr="00E85451">
        <w:rPr>
          <w:rFonts w:ascii="Arial" w:eastAsia="Arial" w:hAnsi="Arial" w:cs="Arial"/>
          <w:color w:val="auto"/>
          <w:sz w:val="22"/>
          <w:szCs w:val="22"/>
        </w:rPr>
        <w:tab/>
      </w:r>
      <w:bookmarkStart w:id="0" w:name="h.30j0zll" w:colFirst="0" w:colLast="0"/>
      <w:bookmarkEnd w:id="0"/>
      <w:r w:rsidRPr="00E85451">
        <w:rPr>
          <w:rFonts w:ascii="Arial" w:eastAsia="Arial" w:hAnsi="Arial" w:cs="Arial"/>
          <w:color w:val="auto"/>
          <w:sz w:val="22"/>
          <w:szCs w:val="22"/>
        </w:rPr>
        <w:t>Završno izvješće programa Erasmus+ 2014. za Europsku komisiju</w:t>
      </w:r>
      <w:r w:rsidR="004812EC" w:rsidRPr="00E85451">
        <w:rPr>
          <w:rFonts w:ascii="Arial" w:eastAsia="Arial" w:hAnsi="Arial" w:cs="Arial"/>
          <w:color w:val="auto"/>
          <w:sz w:val="22"/>
          <w:szCs w:val="22"/>
        </w:rPr>
        <w:t xml:space="preserve"> </w:t>
      </w:r>
    </w:p>
    <w:p w:rsidR="00FF79C5" w:rsidRPr="00E85451" w:rsidRDefault="00FF79C5" w:rsidP="00CF440A">
      <w:pPr>
        <w:spacing w:line="276" w:lineRule="auto"/>
        <w:ind w:left="426" w:right="-8" w:hanging="359"/>
        <w:rPr>
          <w:rFonts w:ascii="Arial" w:eastAsia="Arial" w:hAnsi="Arial" w:cs="Arial"/>
          <w:color w:val="auto"/>
          <w:sz w:val="22"/>
          <w:szCs w:val="22"/>
        </w:rPr>
      </w:pPr>
      <w:r w:rsidRPr="00E85451">
        <w:rPr>
          <w:rFonts w:ascii="Arial" w:eastAsia="Arial" w:hAnsi="Arial" w:cs="Arial"/>
          <w:color w:val="auto"/>
          <w:sz w:val="22"/>
          <w:szCs w:val="22"/>
        </w:rPr>
        <w:t xml:space="preserve">6. </w:t>
      </w:r>
      <w:r w:rsidRPr="00E85451">
        <w:rPr>
          <w:rFonts w:ascii="Arial" w:eastAsia="Arial" w:hAnsi="Arial" w:cs="Arial"/>
          <w:color w:val="auto"/>
          <w:sz w:val="22"/>
          <w:szCs w:val="22"/>
        </w:rPr>
        <w:tab/>
        <w:t>Završno izvješće Europass 2014. za Europsku komisiju</w:t>
      </w:r>
      <w:r w:rsidR="004812EC" w:rsidRPr="00E85451">
        <w:rPr>
          <w:rFonts w:ascii="Arial" w:eastAsia="Arial" w:hAnsi="Arial" w:cs="Arial"/>
          <w:color w:val="auto"/>
          <w:sz w:val="22"/>
          <w:szCs w:val="22"/>
        </w:rPr>
        <w:t xml:space="preserve"> </w:t>
      </w:r>
    </w:p>
    <w:p w:rsidR="00FF79C5" w:rsidRPr="00E85451" w:rsidRDefault="00FF79C5" w:rsidP="00CF440A">
      <w:pPr>
        <w:spacing w:line="276" w:lineRule="auto"/>
        <w:ind w:left="426" w:right="-8" w:hanging="359"/>
        <w:rPr>
          <w:rFonts w:ascii="Arial" w:eastAsia="Arial" w:hAnsi="Arial" w:cs="Arial"/>
          <w:color w:val="auto"/>
          <w:sz w:val="22"/>
          <w:szCs w:val="22"/>
        </w:rPr>
      </w:pPr>
      <w:r w:rsidRPr="00E85451">
        <w:rPr>
          <w:rFonts w:ascii="Arial" w:eastAsia="Arial" w:hAnsi="Arial" w:cs="Arial"/>
          <w:color w:val="auto"/>
          <w:sz w:val="22"/>
          <w:szCs w:val="22"/>
        </w:rPr>
        <w:t xml:space="preserve">7. </w:t>
      </w:r>
      <w:r w:rsidRPr="00E85451">
        <w:rPr>
          <w:rFonts w:ascii="Arial" w:eastAsia="Arial" w:hAnsi="Arial" w:cs="Arial"/>
          <w:color w:val="auto"/>
          <w:sz w:val="22"/>
          <w:szCs w:val="22"/>
        </w:rPr>
        <w:tab/>
        <w:t>Završno izvješće Euroguidance 2014. za Europsku komisiju</w:t>
      </w:r>
      <w:r w:rsidR="004812EC" w:rsidRPr="00E85451">
        <w:rPr>
          <w:rFonts w:ascii="Arial" w:eastAsia="Arial" w:hAnsi="Arial" w:cs="Arial"/>
          <w:color w:val="auto"/>
          <w:sz w:val="22"/>
          <w:szCs w:val="22"/>
        </w:rPr>
        <w:t xml:space="preserve"> </w:t>
      </w:r>
    </w:p>
    <w:p w:rsidR="00FF79C5" w:rsidRPr="00E85451" w:rsidRDefault="00FF79C5" w:rsidP="00CF440A">
      <w:pPr>
        <w:spacing w:line="276" w:lineRule="auto"/>
        <w:ind w:left="426" w:right="-8" w:hanging="359"/>
        <w:rPr>
          <w:rFonts w:ascii="Arial" w:hAnsi="Arial" w:cs="Arial"/>
          <w:color w:val="auto"/>
          <w:sz w:val="22"/>
          <w:szCs w:val="22"/>
        </w:rPr>
      </w:pPr>
      <w:r w:rsidRPr="00E85451">
        <w:rPr>
          <w:rFonts w:ascii="Arial" w:eastAsia="Arial" w:hAnsi="Arial" w:cs="Arial"/>
          <w:color w:val="auto"/>
          <w:sz w:val="22"/>
          <w:szCs w:val="22"/>
        </w:rPr>
        <w:t xml:space="preserve">8. </w:t>
      </w:r>
      <w:r w:rsidRPr="00E85451">
        <w:rPr>
          <w:rFonts w:ascii="Arial" w:eastAsia="Arial" w:hAnsi="Arial" w:cs="Arial"/>
          <w:color w:val="auto"/>
          <w:sz w:val="22"/>
          <w:szCs w:val="22"/>
        </w:rPr>
        <w:tab/>
        <w:t>Završno izvješće eTwinning 2014. za Europsku komisiju</w:t>
      </w:r>
      <w:r w:rsidR="004812EC" w:rsidRPr="00E85451">
        <w:rPr>
          <w:rFonts w:ascii="Arial" w:eastAsia="Arial" w:hAnsi="Arial" w:cs="Arial"/>
          <w:color w:val="auto"/>
          <w:sz w:val="22"/>
          <w:szCs w:val="22"/>
        </w:rPr>
        <w:t xml:space="preserve"> </w:t>
      </w:r>
    </w:p>
    <w:p w:rsidR="00CF440A" w:rsidRPr="00E85451" w:rsidRDefault="00CF440A" w:rsidP="00CF440A">
      <w:pPr>
        <w:spacing w:line="276" w:lineRule="auto"/>
        <w:ind w:left="426" w:right="-8" w:hanging="359"/>
        <w:rPr>
          <w:rFonts w:ascii="Arial" w:hAnsi="Arial" w:cs="Arial"/>
          <w:color w:val="auto"/>
          <w:sz w:val="22"/>
          <w:szCs w:val="22"/>
        </w:rPr>
      </w:pPr>
    </w:p>
    <w:p w:rsidR="000F3799" w:rsidRPr="00E85451" w:rsidRDefault="00923EE2">
      <w:pPr>
        <w:rPr>
          <w:rFonts w:ascii="Arial" w:hAnsi="Arial" w:cs="Arial"/>
          <w:color w:val="auto"/>
          <w:sz w:val="22"/>
          <w:szCs w:val="22"/>
        </w:rPr>
      </w:pPr>
      <w:r w:rsidRPr="00E85451">
        <w:rPr>
          <w:rFonts w:ascii="Arial" w:hAnsi="Arial" w:cs="Arial"/>
          <w:color w:val="auto"/>
          <w:sz w:val="22"/>
          <w:szCs w:val="22"/>
        </w:rPr>
        <w:br w:type="page"/>
      </w:r>
    </w:p>
    <w:p w:rsidR="005E3AD9" w:rsidRPr="000F3158" w:rsidRDefault="00923EE2" w:rsidP="00601741">
      <w:pPr>
        <w:pStyle w:val="Heading1"/>
        <w:numPr>
          <w:ilvl w:val="0"/>
          <w:numId w:val="27"/>
        </w:numPr>
        <w:rPr>
          <w:rFonts w:ascii="Arial" w:hAnsi="Arial" w:cs="Arial"/>
          <w:color w:val="auto"/>
          <w:sz w:val="28"/>
          <w:szCs w:val="28"/>
        </w:rPr>
      </w:pPr>
      <w:bookmarkStart w:id="1" w:name="h.1fob9te" w:colFirst="0" w:colLast="0"/>
      <w:bookmarkStart w:id="2" w:name="_Toc419192148"/>
      <w:bookmarkEnd w:id="1"/>
      <w:r w:rsidRPr="000F3158">
        <w:rPr>
          <w:rFonts w:ascii="Arial" w:hAnsi="Arial" w:cs="Arial"/>
          <w:color w:val="auto"/>
          <w:sz w:val="28"/>
          <w:szCs w:val="28"/>
        </w:rPr>
        <w:lastRenderedPageBreak/>
        <w:t>Uvod</w:t>
      </w:r>
      <w:bookmarkEnd w:id="2"/>
    </w:p>
    <w:p w:rsidR="00DD632E" w:rsidRPr="00E85451" w:rsidRDefault="00DD632E">
      <w:pPr>
        <w:ind w:right="-8"/>
        <w:jc w:val="both"/>
        <w:rPr>
          <w:rFonts w:ascii="Arial" w:hAnsi="Arial" w:cs="Arial"/>
          <w:color w:val="auto"/>
          <w:sz w:val="22"/>
          <w:szCs w:val="22"/>
        </w:rPr>
      </w:pPr>
    </w:p>
    <w:p w:rsidR="000F3799" w:rsidRPr="007F4866" w:rsidRDefault="00923EE2">
      <w:pPr>
        <w:ind w:right="-8"/>
        <w:jc w:val="both"/>
        <w:rPr>
          <w:rFonts w:ascii="Arial" w:hAnsi="Arial" w:cs="Arial"/>
          <w:color w:val="auto"/>
          <w:sz w:val="22"/>
          <w:szCs w:val="22"/>
        </w:rPr>
      </w:pPr>
      <w:r w:rsidRPr="007F4866">
        <w:rPr>
          <w:rFonts w:ascii="Arial" w:eastAsia="Arial" w:hAnsi="Arial" w:cs="Arial"/>
          <w:color w:val="auto"/>
          <w:sz w:val="22"/>
          <w:szCs w:val="22"/>
        </w:rPr>
        <w:t xml:space="preserve">Agencija za mobilnost i programe EU (dalje u tekstu: Agencija) </w:t>
      </w:r>
      <w:r w:rsidR="002F2A89" w:rsidRPr="007F4866">
        <w:rPr>
          <w:rFonts w:ascii="Arial" w:eastAsia="Arial" w:hAnsi="Arial" w:cs="Arial"/>
          <w:color w:val="auto"/>
          <w:sz w:val="22"/>
          <w:szCs w:val="22"/>
        </w:rPr>
        <w:t xml:space="preserve">i </w:t>
      </w:r>
      <w:r w:rsidR="007F4866" w:rsidRPr="007F4866">
        <w:rPr>
          <w:rFonts w:ascii="Arial" w:eastAsia="Arial" w:hAnsi="Arial" w:cs="Arial"/>
          <w:color w:val="auto"/>
          <w:sz w:val="22"/>
          <w:szCs w:val="22"/>
        </w:rPr>
        <w:t>tijekom 2014</w:t>
      </w:r>
      <w:r w:rsidR="0035313C">
        <w:rPr>
          <w:rFonts w:ascii="Arial" w:eastAsia="Arial" w:hAnsi="Arial" w:cs="Arial"/>
          <w:color w:val="auto"/>
          <w:sz w:val="22"/>
          <w:szCs w:val="22"/>
        </w:rPr>
        <w:t>.g.</w:t>
      </w:r>
      <w:r w:rsidRPr="007F4866">
        <w:rPr>
          <w:rFonts w:ascii="Arial" w:eastAsia="Arial" w:hAnsi="Arial" w:cs="Arial"/>
          <w:color w:val="auto"/>
          <w:sz w:val="22"/>
          <w:szCs w:val="22"/>
        </w:rPr>
        <w:t xml:space="preserve"> </w:t>
      </w:r>
      <w:r w:rsidR="007F4866" w:rsidRPr="007F4866">
        <w:rPr>
          <w:rFonts w:ascii="Arial" w:eastAsia="Arial" w:hAnsi="Arial" w:cs="Arial"/>
          <w:color w:val="auto"/>
          <w:sz w:val="22"/>
          <w:szCs w:val="22"/>
        </w:rPr>
        <w:t xml:space="preserve">nastavila je svoje djelovanje </w:t>
      </w:r>
      <w:r w:rsidR="0035313C">
        <w:rPr>
          <w:rFonts w:ascii="Arial" w:eastAsia="Arial" w:hAnsi="Arial" w:cs="Arial"/>
          <w:color w:val="auto"/>
          <w:sz w:val="22"/>
          <w:szCs w:val="22"/>
        </w:rPr>
        <w:t>središnje nacionalne točke</w:t>
      </w:r>
      <w:r w:rsidR="002B0BEC">
        <w:rPr>
          <w:rFonts w:ascii="Arial" w:eastAsia="Arial" w:hAnsi="Arial" w:cs="Arial"/>
          <w:color w:val="auto"/>
          <w:sz w:val="22"/>
          <w:szCs w:val="22"/>
        </w:rPr>
        <w:t xml:space="preserve"> za</w:t>
      </w:r>
      <w:r w:rsidRPr="007F4866">
        <w:rPr>
          <w:rFonts w:ascii="Arial" w:eastAsia="Arial" w:hAnsi="Arial" w:cs="Arial"/>
          <w:color w:val="auto"/>
          <w:sz w:val="22"/>
          <w:szCs w:val="22"/>
        </w:rPr>
        <w:t xml:space="preserve"> aktivnosti mobilnosti u svrhu učenja</w:t>
      </w:r>
      <w:r w:rsidR="007F4866" w:rsidRPr="007F4866">
        <w:rPr>
          <w:rFonts w:ascii="Arial" w:eastAsia="Arial" w:hAnsi="Arial" w:cs="Arial"/>
          <w:color w:val="auto"/>
          <w:sz w:val="22"/>
          <w:szCs w:val="22"/>
        </w:rPr>
        <w:t xml:space="preserve"> i usavršavanja</w:t>
      </w:r>
      <w:r w:rsidRPr="007F4866">
        <w:rPr>
          <w:rFonts w:ascii="Arial" w:eastAsia="Arial" w:hAnsi="Arial" w:cs="Arial"/>
          <w:color w:val="auto"/>
          <w:sz w:val="22"/>
          <w:szCs w:val="22"/>
        </w:rPr>
        <w:t xml:space="preserve">, kao instrumenta potpore jačanju kvalitete sustava </w:t>
      </w:r>
      <w:r w:rsidR="007F4866" w:rsidRPr="007F4866">
        <w:rPr>
          <w:rFonts w:ascii="Arial" w:eastAsia="Arial" w:hAnsi="Arial" w:cs="Arial"/>
          <w:color w:val="auto"/>
          <w:sz w:val="22"/>
          <w:szCs w:val="22"/>
        </w:rPr>
        <w:t xml:space="preserve">znanosti, </w:t>
      </w:r>
      <w:r w:rsidRPr="007F4866">
        <w:rPr>
          <w:rFonts w:ascii="Arial" w:eastAsia="Arial" w:hAnsi="Arial" w:cs="Arial"/>
          <w:color w:val="auto"/>
          <w:sz w:val="22"/>
          <w:szCs w:val="22"/>
        </w:rPr>
        <w:t xml:space="preserve">obrazovanja, </w:t>
      </w:r>
      <w:r w:rsidR="007F4866" w:rsidRPr="007F4866">
        <w:rPr>
          <w:rFonts w:ascii="Arial" w:eastAsia="Arial" w:hAnsi="Arial" w:cs="Arial"/>
          <w:color w:val="auto"/>
          <w:sz w:val="22"/>
          <w:szCs w:val="22"/>
        </w:rPr>
        <w:t xml:space="preserve">osposobljavanja </w:t>
      </w:r>
      <w:r w:rsidRPr="007F4866">
        <w:rPr>
          <w:rFonts w:ascii="Arial" w:eastAsia="Arial" w:hAnsi="Arial" w:cs="Arial"/>
          <w:color w:val="auto"/>
          <w:sz w:val="22"/>
          <w:szCs w:val="22"/>
        </w:rPr>
        <w:t>i mladeškog djelovanja</w:t>
      </w:r>
      <w:r w:rsidR="007F4866" w:rsidRPr="007F4866">
        <w:rPr>
          <w:rFonts w:ascii="Arial" w:eastAsia="Arial" w:hAnsi="Arial" w:cs="Arial"/>
          <w:color w:val="auto"/>
          <w:sz w:val="22"/>
          <w:szCs w:val="22"/>
        </w:rPr>
        <w:t xml:space="preserve"> njihovom internacionalizacijom</w:t>
      </w:r>
      <w:r w:rsidRPr="007F4866">
        <w:rPr>
          <w:rFonts w:ascii="Arial" w:eastAsia="Arial" w:hAnsi="Arial" w:cs="Arial"/>
          <w:color w:val="auto"/>
          <w:sz w:val="22"/>
          <w:szCs w:val="22"/>
        </w:rPr>
        <w:t xml:space="preserve">. </w:t>
      </w:r>
    </w:p>
    <w:p w:rsidR="000F3799" w:rsidRPr="007F4866" w:rsidRDefault="000F3799">
      <w:pPr>
        <w:ind w:right="-8"/>
        <w:jc w:val="both"/>
        <w:rPr>
          <w:rFonts w:ascii="Arial" w:hAnsi="Arial" w:cs="Arial"/>
          <w:color w:val="auto"/>
          <w:sz w:val="22"/>
          <w:szCs w:val="22"/>
        </w:rPr>
      </w:pPr>
    </w:p>
    <w:p w:rsidR="002B0BEC" w:rsidRDefault="002B0BEC" w:rsidP="002B0BEC">
      <w:pPr>
        <w:ind w:right="-8"/>
        <w:jc w:val="both"/>
        <w:rPr>
          <w:rFonts w:ascii="Arial" w:eastAsia="Arial" w:hAnsi="Arial" w:cs="Arial"/>
          <w:color w:val="auto"/>
          <w:sz w:val="22"/>
          <w:szCs w:val="22"/>
        </w:rPr>
      </w:pPr>
      <w:r>
        <w:rPr>
          <w:rFonts w:ascii="Arial" w:eastAsia="Arial" w:hAnsi="Arial" w:cs="Arial"/>
          <w:color w:val="auto"/>
          <w:sz w:val="22"/>
          <w:szCs w:val="22"/>
        </w:rPr>
        <w:t xml:space="preserve">Vizija i misija Agencije koje čine </w:t>
      </w:r>
      <w:r w:rsidR="0035313C">
        <w:rPr>
          <w:rFonts w:ascii="Arial" w:eastAsia="Arial" w:hAnsi="Arial" w:cs="Arial"/>
          <w:color w:val="auto"/>
          <w:sz w:val="22"/>
          <w:szCs w:val="22"/>
        </w:rPr>
        <w:t>temelj</w:t>
      </w:r>
      <w:r>
        <w:rPr>
          <w:rFonts w:ascii="Arial" w:eastAsia="Arial" w:hAnsi="Arial" w:cs="Arial"/>
          <w:color w:val="auto"/>
          <w:sz w:val="22"/>
          <w:szCs w:val="22"/>
        </w:rPr>
        <w:t xml:space="preserve"> cjelokupnog djelovanja Agencije i njezinih djelatnika su:</w:t>
      </w:r>
    </w:p>
    <w:p w:rsidR="002B0BEC" w:rsidRDefault="002B0BEC" w:rsidP="002B0BEC">
      <w:pPr>
        <w:ind w:right="-8"/>
        <w:jc w:val="both"/>
        <w:rPr>
          <w:rFonts w:ascii="Arial" w:eastAsia="Arial" w:hAnsi="Arial" w:cs="Arial"/>
          <w:color w:val="auto"/>
          <w:sz w:val="22"/>
          <w:szCs w:val="22"/>
        </w:rPr>
      </w:pPr>
    </w:p>
    <w:p w:rsidR="002B0BEC" w:rsidRDefault="002B0BEC" w:rsidP="002B0BEC">
      <w:pPr>
        <w:ind w:right="-8"/>
        <w:jc w:val="both"/>
        <w:rPr>
          <w:rFonts w:ascii="Arial" w:eastAsia="Arial" w:hAnsi="Arial" w:cs="Arial"/>
          <w:color w:val="auto"/>
          <w:sz w:val="22"/>
          <w:szCs w:val="22"/>
        </w:rPr>
      </w:pPr>
      <w:r w:rsidRPr="002B0BEC">
        <w:rPr>
          <w:rFonts w:ascii="Arial" w:eastAsia="Arial" w:hAnsi="Arial" w:cs="Arial"/>
          <w:color w:val="auto"/>
          <w:sz w:val="22"/>
          <w:szCs w:val="22"/>
        </w:rPr>
        <w:t>VIZIJA</w:t>
      </w:r>
    </w:p>
    <w:p w:rsidR="002B0BEC" w:rsidRPr="002B0BEC" w:rsidRDefault="002B0BEC" w:rsidP="002B0BEC">
      <w:pPr>
        <w:ind w:right="-8"/>
        <w:jc w:val="both"/>
        <w:rPr>
          <w:rFonts w:ascii="Arial" w:eastAsia="Arial" w:hAnsi="Arial" w:cs="Arial"/>
          <w:color w:val="auto"/>
          <w:sz w:val="22"/>
          <w:szCs w:val="22"/>
        </w:rPr>
      </w:pPr>
      <w:r>
        <w:rPr>
          <w:rFonts w:ascii="Arial" w:eastAsia="Arial" w:hAnsi="Arial" w:cs="Arial"/>
          <w:color w:val="auto"/>
          <w:sz w:val="22"/>
          <w:szCs w:val="22"/>
        </w:rPr>
        <w:t xml:space="preserve">Osiguravanjem mogućnosti za mobilnost i međunarodnu suradnju u području znanosti, obrazovanja, osposobljavanja i mladih, Agencija pridonosi jačanju ljudskog i demokratskog potencijala, socijalnoj koheziji te konkurentnosti hrvatskog društva. </w:t>
      </w:r>
    </w:p>
    <w:p w:rsidR="002B0BEC" w:rsidRDefault="002B0BEC" w:rsidP="002B0BEC">
      <w:pPr>
        <w:ind w:right="-8"/>
        <w:jc w:val="both"/>
        <w:rPr>
          <w:rFonts w:ascii="Arial" w:eastAsia="Arial" w:hAnsi="Arial" w:cs="Arial"/>
          <w:color w:val="auto"/>
          <w:sz w:val="22"/>
          <w:szCs w:val="22"/>
        </w:rPr>
      </w:pPr>
    </w:p>
    <w:p w:rsidR="002B0BEC" w:rsidRDefault="002B0BEC" w:rsidP="002B0BEC">
      <w:pPr>
        <w:ind w:right="-8"/>
        <w:jc w:val="both"/>
        <w:rPr>
          <w:rFonts w:ascii="Arial" w:eastAsia="Arial" w:hAnsi="Arial" w:cs="Arial"/>
          <w:color w:val="auto"/>
          <w:sz w:val="22"/>
          <w:szCs w:val="22"/>
        </w:rPr>
      </w:pPr>
      <w:r w:rsidRPr="002B0BEC">
        <w:rPr>
          <w:rFonts w:ascii="Arial" w:eastAsia="Arial" w:hAnsi="Arial" w:cs="Arial"/>
          <w:color w:val="auto"/>
          <w:sz w:val="22"/>
          <w:szCs w:val="22"/>
        </w:rPr>
        <w:t>MISIJA</w:t>
      </w:r>
    </w:p>
    <w:p w:rsidR="002B0BEC" w:rsidRPr="002B0BEC" w:rsidRDefault="002B0BEC" w:rsidP="002B0BEC">
      <w:pPr>
        <w:ind w:right="-8"/>
        <w:jc w:val="both"/>
        <w:rPr>
          <w:rFonts w:ascii="Arial" w:eastAsia="Arial" w:hAnsi="Arial" w:cs="Arial"/>
          <w:color w:val="auto"/>
          <w:sz w:val="22"/>
          <w:szCs w:val="22"/>
        </w:rPr>
      </w:pPr>
      <w:r>
        <w:rPr>
          <w:rFonts w:ascii="Arial" w:eastAsia="Arial" w:hAnsi="Arial" w:cs="Arial"/>
          <w:color w:val="auto"/>
          <w:sz w:val="22"/>
          <w:szCs w:val="22"/>
        </w:rPr>
        <w:t xml:space="preserve">Podupirati internacionalizaciju u svrhu unapređenja kvalitete sustava znanosti, obrazovanja i osposobljavanja te područja mladih u Republici Hrvatskoj, a sukladno potrebama građana, društva i gospodarstva.  </w:t>
      </w:r>
    </w:p>
    <w:p w:rsidR="002B0BEC" w:rsidRDefault="002B0BEC" w:rsidP="002B0BEC">
      <w:pPr>
        <w:ind w:right="-8"/>
        <w:jc w:val="both"/>
        <w:rPr>
          <w:rFonts w:ascii="Arial" w:eastAsia="Arial" w:hAnsi="Arial" w:cs="Arial"/>
          <w:color w:val="auto"/>
          <w:sz w:val="22"/>
          <w:szCs w:val="22"/>
        </w:rPr>
      </w:pPr>
    </w:p>
    <w:p w:rsidR="000F3799" w:rsidRPr="007F4866" w:rsidRDefault="00923EE2" w:rsidP="002B0BEC">
      <w:pPr>
        <w:ind w:right="-8"/>
        <w:jc w:val="both"/>
        <w:rPr>
          <w:rFonts w:ascii="Arial" w:hAnsi="Arial" w:cs="Arial"/>
          <w:color w:val="auto"/>
          <w:sz w:val="22"/>
          <w:szCs w:val="22"/>
        </w:rPr>
      </w:pPr>
      <w:r w:rsidRPr="007F4866">
        <w:rPr>
          <w:rFonts w:ascii="Arial" w:eastAsia="Arial" w:hAnsi="Arial" w:cs="Arial"/>
          <w:color w:val="auto"/>
          <w:sz w:val="22"/>
          <w:szCs w:val="22"/>
        </w:rPr>
        <w:t xml:space="preserve">Konkretno, Agencija </w:t>
      </w:r>
      <w:r w:rsidR="002F2A89" w:rsidRPr="007F4866">
        <w:rPr>
          <w:rFonts w:ascii="Arial" w:eastAsia="Arial" w:hAnsi="Arial" w:cs="Arial"/>
          <w:color w:val="auto"/>
          <w:sz w:val="22"/>
          <w:szCs w:val="22"/>
        </w:rPr>
        <w:t>je tijekom</w:t>
      </w:r>
      <w:r w:rsidRPr="007F4866">
        <w:rPr>
          <w:rFonts w:ascii="Arial" w:eastAsia="Arial" w:hAnsi="Arial" w:cs="Arial"/>
          <w:color w:val="auto"/>
          <w:sz w:val="22"/>
          <w:szCs w:val="22"/>
        </w:rPr>
        <w:t xml:space="preserve"> </w:t>
      </w:r>
      <w:r w:rsidR="007F4866" w:rsidRPr="007F4866">
        <w:rPr>
          <w:rFonts w:ascii="Arial" w:eastAsia="Arial" w:hAnsi="Arial" w:cs="Arial"/>
          <w:color w:val="auto"/>
          <w:sz w:val="22"/>
          <w:szCs w:val="22"/>
        </w:rPr>
        <w:t>2014</w:t>
      </w:r>
      <w:r w:rsidRPr="007F4866">
        <w:rPr>
          <w:rFonts w:ascii="Arial" w:eastAsia="Arial" w:hAnsi="Arial" w:cs="Arial"/>
          <w:color w:val="auto"/>
          <w:sz w:val="22"/>
          <w:szCs w:val="22"/>
        </w:rPr>
        <w:t>.g. unutar svojeg</w:t>
      </w:r>
      <w:r w:rsidR="007F11F6" w:rsidRPr="007F4866">
        <w:rPr>
          <w:rFonts w:ascii="Arial" w:eastAsia="Arial" w:hAnsi="Arial" w:cs="Arial"/>
          <w:color w:val="auto"/>
          <w:sz w:val="22"/>
          <w:szCs w:val="22"/>
        </w:rPr>
        <w:t xml:space="preserve"> </w:t>
      </w:r>
      <w:r w:rsidRPr="007F4866">
        <w:rPr>
          <w:rFonts w:ascii="Arial" w:eastAsia="Arial" w:hAnsi="Arial" w:cs="Arial"/>
          <w:color w:val="auto"/>
          <w:sz w:val="22"/>
          <w:szCs w:val="22"/>
        </w:rPr>
        <w:t>portfelja upravlja</w:t>
      </w:r>
      <w:r w:rsidR="002F2A89" w:rsidRPr="007F4866">
        <w:rPr>
          <w:rFonts w:ascii="Arial" w:eastAsia="Arial" w:hAnsi="Arial" w:cs="Arial"/>
          <w:color w:val="auto"/>
          <w:sz w:val="22"/>
          <w:szCs w:val="22"/>
        </w:rPr>
        <w:t>la</w:t>
      </w:r>
      <w:r w:rsidRPr="007F4866">
        <w:rPr>
          <w:rFonts w:ascii="Arial" w:eastAsia="Arial" w:hAnsi="Arial" w:cs="Arial"/>
          <w:color w:val="auto"/>
          <w:sz w:val="22"/>
          <w:szCs w:val="22"/>
        </w:rPr>
        <w:t xml:space="preserve"> sljedećim programima, mrežama, inicijativama i projektima:</w:t>
      </w:r>
    </w:p>
    <w:p w:rsidR="000F3799" w:rsidRPr="007F4866" w:rsidRDefault="000F3799">
      <w:pPr>
        <w:ind w:right="-8"/>
        <w:jc w:val="both"/>
        <w:rPr>
          <w:rFonts w:ascii="Arial" w:hAnsi="Arial" w:cs="Arial"/>
          <w:color w:val="auto"/>
          <w:sz w:val="22"/>
          <w:szCs w:val="22"/>
        </w:rPr>
      </w:pPr>
    </w:p>
    <w:p w:rsidR="002B0BEC" w:rsidRDefault="00CF440A">
      <w:pPr>
        <w:ind w:right="-8" w:hanging="359"/>
        <w:jc w:val="both"/>
        <w:rPr>
          <w:rFonts w:ascii="Arial" w:eastAsia="Arial" w:hAnsi="Arial" w:cs="Arial"/>
          <w:color w:val="auto"/>
          <w:sz w:val="22"/>
          <w:szCs w:val="22"/>
        </w:rPr>
      </w:pPr>
      <w:r w:rsidRPr="007F4866">
        <w:rPr>
          <w:rFonts w:ascii="Arial" w:eastAsia="Arial" w:hAnsi="Arial" w:cs="Arial"/>
          <w:color w:val="auto"/>
          <w:sz w:val="22"/>
          <w:szCs w:val="22"/>
        </w:rPr>
        <w:t xml:space="preserve">- </w:t>
      </w:r>
      <w:r w:rsidR="00F74C0A" w:rsidRPr="007F4866">
        <w:rPr>
          <w:rFonts w:ascii="Arial" w:eastAsia="Arial" w:hAnsi="Arial" w:cs="Arial"/>
          <w:color w:val="auto"/>
          <w:sz w:val="22"/>
          <w:szCs w:val="22"/>
        </w:rPr>
        <w:tab/>
      </w:r>
      <w:r w:rsidR="002B0BEC" w:rsidRPr="002B0BEC">
        <w:rPr>
          <w:rFonts w:ascii="Arial" w:eastAsia="Arial" w:hAnsi="Arial" w:cs="Arial"/>
          <w:color w:val="auto"/>
          <w:sz w:val="22"/>
          <w:szCs w:val="22"/>
          <w:u w:val="single"/>
        </w:rPr>
        <w:t>Program Erasmus+</w:t>
      </w:r>
      <w:r w:rsidR="002B0BEC">
        <w:rPr>
          <w:rFonts w:ascii="Arial" w:eastAsia="Arial" w:hAnsi="Arial" w:cs="Arial"/>
          <w:color w:val="auto"/>
          <w:sz w:val="22"/>
          <w:szCs w:val="22"/>
        </w:rPr>
        <w:t xml:space="preserve"> (najveći program Europske unije u području obrazovanja, osposobljavanja, mladih i sporta za razdoblje 2014.-2020. kao pravni slijednik Programa za cjeloživotno učenje i programa Mladi na djelu)</w:t>
      </w:r>
      <w:r w:rsidR="000D54DC">
        <w:rPr>
          <w:rFonts w:ascii="Arial" w:eastAsia="Arial" w:hAnsi="Arial" w:cs="Arial"/>
          <w:color w:val="auto"/>
          <w:sz w:val="22"/>
          <w:szCs w:val="22"/>
        </w:rPr>
        <w:t>,</w:t>
      </w:r>
    </w:p>
    <w:p w:rsidR="000F3799" w:rsidRPr="002B0BEC" w:rsidRDefault="00923EE2" w:rsidP="002B0BEC">
      <w:pPr>
        <w:pStyle w:val="ListParagraph"/>
        <w:numPr>
          <w:ilvl w:val="0"/>
          <w:numId w:val="28"/>
        </w:numPr>
        <w:ind w:left="0" w:right="-8"/>
        <w:jc w:val="both"/>
        <w:rPr>
          <w:rFonts w:ascii="Arial" w:hAnsi="Arial" w:cs="Arial"/>
          <w:color w:val="auto"/>
          <w:sz w:val="22"/>
          <w:szCs w:val="22"/>
        </w:rPr>
      </w:pPr>
      <w:r w:rsidRPr="002B0BEC">
        <w:rPr>
          <w:rFonts w:ascii="Arial" w:eastAsia="Arial" w:hAnsi="Arial" w:cs="Arial"/>
          <w:color w:val="auto"/>
          <w:sz w:val="22"/>
          <w:szCs w:val="22"/>
          <w:u w:val="single"/>
        </w:rPr>
        <w:t>Program za cjeloživotno učenje</w:t>
      </w:r>
      <w:r w:rsidRPr="002B0BEC">
        <w:rPr>
          <w:rFonts w:ascii="Arial" w:eastAsia="Arial" w:hAnsi="Arial" w:cs="Arial"/>
          <w:color w:val="auto"/>
          <w:sz w:val="22"/>
          <w:szCs w:val="22"/>
        </w:rPr>
        <w:t xml:space="preserve"> (program Europske unije usmjeren na sve razine obrazovanja, s mogućnošću financiranja međunarodnih aktivnosti mobilnosti u svrhu učenja, u obliku studiranja ili obavljanja prakse u inozemstvu, stažiranja, rada na zajedničkim projektima, stručnih usavršavanja itd.)</w:t>
      </w:r>
      <w:r w:rsidR="002F2A89" w:rsidRPr="002B0BEC">
        <w:rPr>
          <w:rFonts w:ascii="Arial" w:eastAsia="Arial" w:hAnsi="Arial" w:cs="Arial"/>
          <w:color w:val="auto"/>
          <w:sz w:val="22"/>
          <w:szCs w:val="22"/>
        </w:rPr>
        <w:t>,</w:t>
      </w:r>
    </w:p>
    <w:p w:rsidR="000F3799" w:rsidRPr="007F4866" w:rsidRDefault="00CF440A">
      <w:pPr>
        <w:ind w:right="-8" w:hanging="359"/>
        <w:jc w:val="both"/>
        <w:rPr>
          <w:rFonts w:ascii="Arial" w:hAnsi="Arial" w:cs="Arial"/>
          <w:color w:val="auto"/>
          <w:sz w:val="22"/>
          <w:szCs w:val="22"/>
        </w:rPr>
      </w:pPr>
      <w:r w:rsidRPr="007F4866">
        <w:rPr>
          <w:rFonts w:ascii="Arial" w:eastAsia="Arial" w:hAnsi="Arial" w:cs="Arial"/>
          <w:color w:val="auto"/>
          <w:sz w:val="22"/>
          <w:szCs w:val="22"/>
        </w:rPr>
        <w:t xml:space="preserve">- </w:t>
      </w:r>
      <w:r w:rsidR="00F74C0A" w:rsidRPr="007F4866">
        <w:rPr>
          <w:rFonts w:ascii="Arial" w:eastAsia="Arial" w:hAnsi="Arial" w:cs="Arial"/>
          <w:color w:val="auto"/>
          <w:sz w:val="22"/>
          <w:szCs w:val="22"/>
        </w:rPr>
        <w:tab/>
      </w:r>
      <w:r w:rsidR="002F2A89" w:rsidRPr="007F4866">
        <w:rPr>
          <w:rFonts w:ascii="Arial" w:eastAsia="Arial" w:hAnsi="Arial" w:cs="Arial"/>
          <w:color w:val="auto"/>
          <w:sz w:val="22"/>
          <w:szCs w:val="22"/>
          <w:u w:val="single"/>
        </w:rPr>
        <w:t xml:space="preserve">Program </w:t>
      </w:r>
      <w:r w:rsidR="00923EE2" w:rsidRPr="007F4866">
        <w:rPr>
          <w:rFonts w:ascii="Arial" w:eastAsia="Arial" w:hAnsi="Arial" w:cs="Arial"/>
          <w:color w:val="auto"/>
          <w:sz w:val="22"/>
          <w:szCs w:val="22"/>
          <w:u w:val="single"/>
        </w:rPr>
        <w:t>Mladi na djelu</w:t>
      </w:r>
      <w:r w:rsidR="00923EE2" w:rsidRPr="007F4866">
        <w:rPr>
          <w:rFonts w:ascii="Arial" w:eastAsia="Arial" w:hAnsi="Arial" w:cs="Arial"/>
          <w:color w:val="auto"/>
          <w:sz w:val="22"/>
          <w:szCs w:val="22"/>
        </w:rPr>
        <w:t xml:space="preserve"> (program Europske unije usmjeren na mlade, udruge mladih te osobe koje rade s mladima, s mogućnošću financiranja aktivnosti volontiranja, razmjena mladih, poticanja demokratskih projekata, lokalnih inicijativa te osposobljavanja i umrežavanja)</w:t>
      </w:r>
      <w:r w:rsidR="002F2A89" w:rsidRPr="007F4866">
        <w:rPr>
          <w:rFonts w:ascii="Arial" w:eastAsia="Arial" w:hAnsi="Arial" w:cs="Arial"/>
          <w:color w:val="auto"/>
          <w:sz w:val="22"/>
          <w:szCs w:val="22"/>
        </w:rPr>
        <w:t>,</w:t>
      </w:r>
    </w:p>
    <w:p w:rsidR="000F3799" w:rsidRPr="007F4866" w:rsidRDefault="00CF440A">
      <w:pPr>
        <w:ind w:right="-8" w:hanging="359"/>
        <w:jc w:val="both"/>
        <w:rPr>
          <w:rFonts w:ascii="Arial" w:hAnsi="Arial" w:cs="Arial"/>
          <w:color w:val="auto"/>
          <w:sz w:val="22"/>
          <w:szCs w:val="22"/>
        </w:rPr>
      </w:pPr>
      <w:r w:rsidRPr="007F4866">
        <w:rPr>
          <w:rFonts w:ascii="Arial" w:eastAsia="Arial" w:hAnsi="Arial" w:cs="Arial"/>
          <w:color w:val="auto"/>
          <w:sz w:val="22"/>
          <w:szCs w:val="22"/>
        </w:rPr>
        <w:t xml:space="preserve">- </w:t>
      </w:r>
      <w:r w:rsidR="00F74C0A" w:rsidRPr="007F4866">
        <w:rPr>
          <w:rFonts w:ascii="Arial" w:eastAsia="Arial" w:hAnsi="Arial" w:cs="Arial"/>
          <w:color w:val="auto"/>
          <w:sz w:val="22"/>
          <w:szCs w:val="22"/>
        </w:rPr>
        <w:tab/>
      </w:r>
      <w:r w:rsidR="00923EE2" w:rsidRPr="007F4866">
        <w:rPr>
          <w:rFonts w:ascii="Arial" w:eastAsia="Arial" w:hAnsi="Arial" w:cs="Arial"/>
          <w:color w:val="auto"/>
          <w:sz w:val="22"/>
          <w:szCs w:val="22"/>
          <w:u w:val="single"/>
        </w:rPr>
        <w:t>CEEPUS</w:t>
      </w:r>
      <w:r w:rsidR="00923EE2" w:rsidRPr="007F4866">
        <w:rPr>
          <w:rFonts w:ascii="Arial" w:eastAsia="Arial" w:hAnsi="Arial" w:cs="Arial"/>
          <w:color w:val="auto"/>
          <w:sz w:val="22"/>
          <w:szCs w:val="22"/>
        </w:rPr>
        <w:t xml:space="preserve"> (Central European Exchange Programme for University Studies - Srednjoeuropski program razmjene za </w:t>
      </w:r>
      <w:r w:rsidR="008C2AC4" w:rsidRPr="007F4866">
        <w:rPr>
          <w:rFonts w:ascii="Arial" w:eastAsia="Arial" w:hAnsi="Arial" w:cs="Arial"/>
          <w:color w:val="auto"/>
          <w:sz w:val="22"/>
          <w:szCs w:val="22"/>
        </w:rPr>
        <w:t xml:space="preserve">sveučilišne </w:t>
      </w:r>
      <w:r w:rsidR="00923EE2" w:rsidRPr="007F4866">
        <w:rPr>
          <w:rFonts w:ascii="Arial" w:eastAsia="Arial" w:hAnsi="Arial" w:cs="Arial"/>
          <w:color w:val="auto"/>
          <w:sz w:val="22"/>
          <w:szCs w:val="22"/>
        </w:rPr>
        <w:t xml:space="preserve">studije) jest multilateralni program akademske mobilnosti između visokih učilišta srednje Europe, s mogućnošću financiranja </w:t>
      </w:r>
      <w:r w:rsidR="008C2AC4" w:rsidRPr="007F4866">
        <w:rPr>
          <w:rFonts w:ascii="Arial" w:eastAsia="Arial" w:hAnsi="Arial" w:cs="Arial"/>
          <w:color w:val="auto"/>
          <w:sz w:val="22"/>
          <w:szCs w:val="22"/>
        </w:rPr>
        <w:t>djelomičnog</w:t>
      </w:r>
      <w:r w:rsidR="00C50BEF" w:rsidRPr="007F4866">
        <w:rPr>
          <w:rFonts w:ascii="Arial" w:eastAsia="Arial" w:hAnsi="Arial" w:cs="Arial"/>
          <w:color w:val="auto"/>
          <w:sz w:val="22"/>
          <w:szCs w:val="22"/>
        </w:rPr>
        <w:t xml:space="preserve"> </w:t>
      </w:r>
      <w:r w:rsidR="00923EE2" w:rsidRPr="007F4866">
        <w:rPr>
          <w:rFonts w:ascii="Arial" w:eastAsia="Arial" w:hAnsi="Arial" w:cs="Arial"/>
          <w:color w:val="auto"/>
          <w:sz w:val="22"/>
          <w:szCs w:val="22"/>
        </w:rPr>
        <w:t>razdoblja studiranja ili držanja nastave)</w:t>
      </w:r>
      <w:r w:rsidR="002F2A89" w:rsidRPr="007F4866">
        <w:rPr>
          <w:rFonts w:ascii="Arial" w:eastAsia="Arial" w:hAnsi="Arial" w:cs="Arial"/>
          <w:color w:val="auto"/>
          <w:sz w:val="22"/>
          <w:szCs w:val="22"/>
        </w:rPr>
        <w:t>,</w:t>
      </w:r>
    </w:p>
    <w:p w:rsidR="000F3799" w:rsidRPr="007F4866" w:rsidRDefault="00CF440A">
      <w:pPr>
        <w:ind w:right="-8" w:hanging="359"/>
        <w:jc w:val="both"/>
        <w:rPr>
          <w:rFonts w:ascii="Arial" w:hAnsi="Arial" w:cs="Arial"/>
          <w:color w:val="auto"/>
          <w:sz w:val="22"/>
          <w:szCs w:val="22"/>
        </w:rPr>
      </w:pPr>
      <w:r w:rsidRPr="007F4866">
        <w:rPr>
          <w:rFonts w:ascii="Arial" w:eastAsia="Arial" w:hAnsi="Arial" w:cs="Arial"/>
          <w:color w:val="auto"/>
          <w:sz w:val="22"/>
          <w:szCs w:val="22"/>
        </w:rPr>
        <w:t xml:space="preserve">- </w:t>
      </w:r>
      <w:r w:rsidR="00F74C0A" w:rsidRPr="007F4866">
        <w:rPr>
          <w:rFonts w:ascii="Arial" w:eastAsia="Arial" w:hAnsi="Arial" w:cs="Arial"/>
          <w:color w:val="auto"/>
          <w:sz w:val="22"/>
          <w:szCs w:val="22"/>
        </w:rPr>
        <w:tab/>
      </w:r>
      <w:r w:rsidR="00923EE2" w:rsidRPr="007F4866">
        <w:rPr>
          <w:rFonts w:ascii="Arial" w:eastAsia="Arial" w:hAnsi="Arial" w:cs="Arial"/>
          <w:color w:val="auto"/>
          <w:sz w:val="22"/>
          <w:szCs w:val="22"/>
          <w:u w:val="single"/>
        </w:rPr>
        <w:t xml:space="preserve">Bilateralni program akademske mobilnosti </w:t>
      </w:r>
      <w:r w:rsidR="00923EE2" w:rsidRPr="007F4866">
        <w:rPr>
          <w:rFonts w:ascii="Arial" w:eastAsia="Arial" w:hAnsi="Arial" w:cs="Arial"/>
          <w:color w:val="auto"/>
          <w:sz w:val="22"/>
          <w:szCs w:val="22"/>
        </w:rPr>
        <w:t>(program akademske mobilnosti utemeljen bilateralnim sporazumima, s mogućnošću financiranja djelomičnog ili cjelovitog razdoblja studija ili istraživanja u inozemstvu ili u Republici Hrvatskoj</w:t>
      </w:r>
      <w:r w:rsidRPr="007F4866">
        <w:rPr>
          <w:rFonts w:ascii="Arial" w:eastAsia="Arial" w:hAnsi="Arial" w:cs="Arial"/>
          <w:color w:val="auto"/>
          <w:sz w:val="22"/>
          <w:szCs w:val="22"/>
        </w:rPr>
        <w:t>)</w:t>
      </w:r>
      <w:r w:rsidR="002F2A89" w:rsidRPr="007F4866">
        <w:rPr>
          <w:rFonts w:ascii="Arial" w:eastAsia="Arial" w:hAnsi="Arial" w:cs="Arial"/>
          <w:color w:val="auto"/>
          <w:sz w:val="22"/>
          <w:szCs w:val="22"/>
        </w:rPr>
        <w:t>,</w:t>
      </w:r>
    </w:p>
    <w:p w:rsidR="000F3799" w:rsidRPr="007F4866" w:rsidRDefault="00CF440A">
      <w:pPr>
        <w:ind w:right="-8" w:hanging="359"/>
        <w:jc w:val="both"/>
        <w:rPr>
          <w:rFonts w:ascii="Arial" w:hAnsi="Arial" w:cs="Arial"/>
          <w:color w:val="auto"/>
          <w:sz w:val="22"/>
          <w:szCs w:val="22"/>
        </w:rPr>
      </w:pPr>
      <w:r w:rsidRPr="007F4866">
        <w:rPr>
          <w:rFonts w:ascii="Arial" w:eastAsia="Arial" w:hAnsi="Arial" w:cs="Arial"/>
          <w:color w:val="auto"/>
          <w:sz w:val="22"/>
          <w:szCs w:val="22"/>
        </w:rPr>
        <w:t>-</w:t>
      </w:r>
      <w:r w:rsidRPr="007F4866">
        <w:rPr>
          <w:rFonts w:ascii="Arial" w:eastAsia="Arial" w:hAnsi="Arial" w:cs="Arial"/>
          <w:color w:val="auto"/>
          <w:sz w:val="22"/>
          <w:szCs w:val="22"/>
        </w:rPr>
        <w:tab/>
      </w:r>
      <w:r w:rsidR="00923EE2" w:rsidRPr="007F4866">
        <w:rPr>
          <w:rFonts w:ascii="Arial" w:eastAsia="Arial" w:hAnsi="Arial" w:cs="Arial"/>
          <w:color w:val="auto"/>
          <w:sz w:val="22"/>
          <w:szCs w:val="22"/>
          <w:u w:val="single"/>
        </w:rPr>
        <w:t>Euraxess</w:t>
      </w:r>
      <w:r w:rsidR="00923EE2" w:rsidRPr="007F4866">
        <w:rPr>
          <w:rFonts w:ascii="Arial" w:eastAsia="Arial" w:hAnsi="Arial" w:cs="Arial"/>
          <w:color w:val="auto"/>
          <w:sz w:val="22"/>
          <w:szCs w:val="22"/>
        </w:rPr>
        <w:t xml:space="preserve"> (program Europske unije namijenjen olakšavanju mobilnosti znanstvenika/istraživača, s mrežom Euraxess uslužnih centara koji pružaju administrativnu i pravnu potporu istraživačima prilikom znanstvenog i istraživačkog rada u inozemstvu)</w:t>
      </w:r>
      <w:r w:rsidR="002F2A89" w:rsidRPr="007F4866">
        <w:rPr>
          <w:rFonts w:ascii="Arial" w:eastAsia="Arial" w:hAnsi="Arial" w:cs="Arial"/>
          <w:color w:val="auto"/>
          <w:sz w:val="22"/>
          <w:szCs w:val="22"/>
        </w:rPr>
        <w:t>,</w:t>
      </w:r>
    </w:p>
    <w:p w:rsidR="000D54DC" w:rsidRPr="000D54DC" w:rsidRDefault="00CF440A" w:rsidP="000D54DC">
      <w:pPr>
        <w:ind w:right="-8" w:hanging="359"/>
        <w:jc w:val="both"/>
        <w:rPr>
          <w:rFonts w:ascii="Arial" w:eastAsia="Arial" w:hAnsi="Arial" w:cs="Arial"/>
          <w:color w:val="auto"/>
          <w:sz w:val="22"/>
          <w:szCs w:val="22"/>
        </w:rPr>
      </w:pPr>
      <w:r w:rsidRPr="007F4866">
        <w:rPr>
          <w:rFonts w:ascii="Arial" w:eastAsia="Arial" w:hAnsi="Arial" w:cs="Arial"/>
          <w:color w:val="auto"/>
          <w:sz w:val="22"/>
          <w:szCs w:val="22"/>
        </w:rPr>
        <w:t xml:space="preserve">- </w:t>
      </w:r>
      <w:r w:rsidRPr="007F4866">
        <w:rPr>
          <w:rFonts w:ascii="Arial" w:eastAsia="Arial" w:hAnsi="Arial" w:cs="Arial"/>
          <w:color w:val="auto"/>
          <w:sz w:val="22"/>
          <w:szCs w:val="22"/>
        </w:rPr>
        <w:tab/>
      </w:r>
      <w:r w:rsidR="000D54DC" w:rsidRPr="000D54DC">
        <w:rPr>
          <w:rFonts w:ascii="Arial" w:eastAsia="Arial" w:hAnsi="Arial" w:cs="Arial"/>
          <w:color w:val="auto"/>
          <w:sz w:val="22"/>
          <w:szCs w:val="22"/>
          <w:u w:val="single"/>
        </w:rPr>
        <w:t>Program Obzor 2020.</w:t>
      </w:r>
      <w:r w:rsidR="000D54DC">
        <w:rPr>
          <w:rFonts w:ascii="Arial" w:eastAsia="Arial" w:hAnsi="Arial" w:cs="Arial"/>
          <w:color w:val="auto"/>
          <w:sz w:val="22"/>
          <w:szCs w:val="22"/>
        </w:rPr>
        <w:t xml:space="preserve"> (program Europske unije za razdoblje 2014.-2020. </w:t>
      </w:r>
      <w:r w:rsidR="000D54DC" w:rsidRPr="000D54DC">
        <w:rPr>
          <w:rFonts w:ascii="Arial" w:eastAsia="Arial" w:hAnsi="Arial" w:cs="Arial"/>
          <w:color w:val="auto"/>
          <w:sz w:val="22"/>
          <w:szCs w:val="22"/>
        </w:rPr>
        <w:t>koji objedinjuje aktivnosti Sedmog okvirnog programa (FP7), inovacijske aspekte Programa za konkurentnost i inovacije (CIP) i EU doprinos Europskom institutu za inovacije i tehnologiju (EIT)</w:t>
      </w:r>
      <w:r w:rsidR="000D54DC">
        <w:rPr>
          <w:rFonts w:ascii="Arial" w:eastAsia="Arial" w:hAnsi="Arial" w:cs="Arial"/>
          <w:color w:val="auto"/>
          <w:sz w:val="22"/>
          <w:szCs w:val="22"/>
        </w:rPr>
        <w:t>)</w:t>
      </w:r>
      <w:r w:rsidR="000D54DC" w:rsidRPr="000D54DC">
        <w:rPr>
          <w:rFonts w:ascii="Arial" w:eastAsia="Arial" w:hAnsi="Arial" w:cs="Arial"/>
          <w:color w:val="auto"/>
          <w:sz w:val="22"/>
          <w:szCs w:val="22"/>
        </w:rPr>
        <w:t>.</w:t>
      </w:r>
    </w:p>
    <w:p w:rsidR="000F3799" w:rsidRPr="000D54DC" w:rsidRDefault="000D54DC" w:rsidP="000D54DC">
      <w:pPr>
        <w:pStyle w:val="ListParagraph"/>
        <w:numPr>
          <w:ilvl w:val="0"/>
          <w:numId w:val="28"/>
        </w:numPr>
        <w:ind w:left="0" w:right="-8"/>
        <w:jc w:val="both"/>
        <w:rPr>
          <w:rFonts w:ascii="Arial" w:eastAsia="Arial" w:hAnsi="Arial" w:cs="Arial"/>
          <w:color w:val="auto"/>
          <w:sz w:val="22"/>
          <w:szCs w:val="22"/>
        </w:rPr>
      </w:pPr>
      <w:r>
        <w:rPr>
          <w:rFonts w:ascii="Arial" w:eastAsia="Arial" w:hAnsi="Arial" w:cs="Arial"/>
          <w:color w:val="auto"/>
          <w:sz w:val="22"/>
          <w:szCs w:val="22"/>
          <w:u w:val="single"/>
        </w:rPr>
        <w:t>Sedmi okvirni program</w:t>
      </w:r>
      <w:r w:rsidR="00AE0D8E">
        <w:rPr>
          <w:rFonts w:ascii="Arial" w:eastAsia="Arial" w:hAnsi="Arial" w:cs="Arial"/>
          <w:color w:val="auto"/>
          <w:sz w:val="22"/>
          <w:szCs w:val="22"/>
          <w:u w:val="single"/>
        </w:rPr>
        <w:t xml:space="preserve"> za istraživanje i tehnološki razvoj</w:t>
      </w:r>
      <w:r>
        <w:rPr>
          <w:rFonts w:ascii="Arial" w:eastAsia="Arial" w:hAnsi="Arial" w:cs="Arial"/>
          <w:color w:val="auto"/>
          <w:sz w:val="22"/>
          <w:szCs w:val="22"/>
          <w:u w:val="single"/>
        </w:rPr>
        <w:t xml:space="preserve"> (</w:t>
      </w:r>
      <w:r w:rsidR="00923EE2" w:rsidRPr="000D54DC">
        <w:rPr>
          <w:rFonts w:ascii="Arial" w:eastAsia="Arial" w:hAnsi="Arial" w:cs="Arial"/>
          <w:color w:val="auto"/>
          <w:sz w:val="22"/>
          <w:szCs w:val="22"/>
          <w:u w:val="single"/>
        </w:rPr>
        <w:t>FP7</w:t>
      </w:r>
      <w:r>
        <w:rPr>
          <w:rFonts w:ascii="Arial" w:eastAsia="Arial" w:hAnsi="Arial" w:cs="Arial"/>
          <w:color w:val="auto"/>
          <w:sz w:val="22"/>
          <w:szCs w:val="22"/>
          <w:u w:val="single"/>
        </w:rPr>
        <w:t>)</w:t>
      </w:r>
      <w:r w:rsidR="00923EE2" w:rsidRPr="000D54DC">
        <w:rPr>
          <w:rFonts w:ascii="Arial" w:eastAsia="Arial" w:hAnsi="Arial" w:cs="Arial"/>
          <w:color w:val="auto"/>
          <w:sz w:val="22"/>
          <w:szCs w:val="22"/>
          <w:u w:val="single"/>
        </w:rPr>
        <w:t xml:space="preserve"> </w:t>
      </w:r>
      <w:r w:rsidR="00923EE2" w:rsidRPr="000D54DC">
        <w:rPr>
          <w:rFonts w:ascii="Arial" w:eastAsia="Arial" w:hAnsi="Arial" w:cs="Arial"/>
          <w:color w:val="auto"/>
          <w:sz w:val="22"/>
          <w:szCs w:val="22"/>
        </w:rPr>
        <w:t>(program Europske unije koji potiče znanstvene projekte u različitim područjima, s raznim mogućnostima financiranja znanstvenih istraživanja, s prijavama Europskoj komisiji te savjetodavnim uslugama Agencije)</w:t>
      </w:r>
      <w:r w:rsidR="002F2A89" w:rsidRPr="000D54DC">
        <w:rPr>
          <w:rFonts w:ascii="Arial" w:eastAsia="Arial" w:hAnsi="Arial" w:cs="Arial"/>
          <w:color w:val="auto"/>
          <w:sz w:val="22"/>
          <w:szCs w:val="22"/>
        </w:rPr>
        <w:t>,</w:t>
      </w:r>
    </w:p>
    <w:p w:rsidR="000F3799" w:rsidRPr="007F4866" w:rsidRDefault="00CF440A">
      <w:pPr>
        <w:ind w:right="-8" w:hanging="359"/>
        <w:jc w:val="both"/>
        <w:rPr>
          <w:rFonts w:ascii="Arial" w:hAnsi="Arial" w:cs="Arial"/>
          <w:color w:val="auto"/>
          <w:sz w:val="22"/>
          <w:szCs w:val="22"/>
        </w:rPr>
      </w:pPr>
      <w:r w:rsidRPr="007F4866">
        <w:rPr>
          <w:rFonts w:ascii="Arial" w:eastAsia="Arial" w:hAnsi="Arial" w:cs="Arial"/>
          <w:color w:val="auto"/>
          <w:sz w:val="22"/>
          <w:szCs w:val="22"/>
        </w:rPr>
        <w:t xml:space="preserve">- </w:t>
      </w:r>
      <w:r w:rsidRPr="007F4866">
        <w:rPr>
          <w:rFonts w:ascii="Arial" w:eastAsia="Arial" w:hAnsi="Arial" w:cs="Arial"/>
          <w:color w:val="auto"/>
          <w:sz w:val="22"/>
          <w:szCs w:val="22"/>
        </w:rPr>
        <w:tab/>
      </w:r>
      <w:r w:rsidR="00923EE2" w:rsidRPr="007F4866">
        <w:rPr>
          <w:rFonts w:ascii="Arial" w:eastAsia="Arial" w:hAnsi="Arial" w:cs="Arial"/>
          <w:color w:val="auto"/>
          <w:sz w:val="22"/>
          <w:szCs w:val="22"/>
          <w:u w:val="single"/>
        </w:rPr>
        <w:t>Europass</w:t>
      </w:r>
      <w:r w:rsidR="00923EE2" w:rsidRPr="007F4866">
        <w:rPr>
          <w:rFonts w:ascii="Arial" w:eastAsia="Arial" w:hAnsi="Arial" w:cs="Arial"/>
          <w:color w:val="auto"/>
          <w:sz w:val="22"/>
          <w:szCs w:val="22"/>
        </w:rPr>
        <w:t xml:space="preserve"> (inicijativa Europske komisije, sadržana od portfelja </w:t>
      </w:r>
      <w:r w:rsidRPr="007F4866">
        <w:rPr>
          <w:rFonts w:ascii="Arial" w:eastAsia="Arial" w:hAnsi="Arial" w:cs="Arial"/>
          <w:color w:val="auto"/>
          <w:sz w:val="22"/>
          <w:szCs w:val="22"/>
        </w:rPr>
        <w:t xml:space="preserve">pet </w:t>
      </w:r>
      <w:r w:rsidR="00923EE2" w:rsidRPr="007F4866">
        <w:rPr>
          <w:rFonts w:ascii="Arial" w:eastAsia="Arial" w:hAnsi="Arial" w:cs="Arial"/>
          <w:color w:val="auto"/>
          <w:sz w:val="22"/>
          <w:szCs w:val="22"/>
        </w:rPr>
        <w:t xml:space="preserve">dokumenata koji </w:t>
      </w:r>
      <w:r w:rsidR="00923EE2" w:rsidRPr="007F4866">
        <w:rPr>
          <w:rFonts w:ascii="Arial" w:eastAsia="Arial" w:hAnsi="Arial" w:cs="Arial"/>
          <w:color w:val="auto"/>
          <w:sz w:val="22"/>
          <w:szCs w:val="22"/>
        </w:rPr>
        <w:lastRenderedPageBreak/>
        <w:t>olakšavaju zapošljavanje i mobilnost na način da sustavno i ujednačeno bilježe znanja, vještine i kompetencije stečene kako tijekom razdoblja mobilnosti u svrhu učenja, tako i tijekom razdoblja formalnog obrazovanja u matičnoj državi)</w:t>
      </w:r>
      <w:r w:rsidR="002F2A89" w:rsidRPr="007F4866">
        <w:rPr>
          <w:rFonts w:ascii="Arial" w:eastAsia="Arial" w:hAnsi="Arial" w:cs="Arial"/>
          <w:color w:val="auto"/>
          <w:sz w:val="22"/>
          <w:szCs w:val="22"/>
        </w:rPr>
        <w:t>,</w:t>
      </w:r>
    </w:p>
    <w:p w:rsidR="000F3799" w:rsidRPr="007F4866" w:rsidRDefault="00CF440A">
      <w:pPr>
        <w:ind w:right="-8" w:hanging="359"/>
        <w:jc w:val="both"/>
        <w:rPr>
          <w:rFonts w:ascii="Arial" w:hAnsi="Arial" w:cs="Arial"/>
          <w:color w:val="auto"/>
          <w:sz w:val="22"/>
          <w:szCs w:val="22"/>
        </w:rPr>
      </w:pPr>
      <w:r w:rsidRPr="007F4866">
        <w:rPr>
          <w:rFonts w:ascii="Arial" w:eastAsia="Arial" w:hAnsi="Arial" w:cs="Arial"/>
          <w:color w:val="auto"/>
          <w:sz w:val="22"/>
          <w:szCs w:val="22"/>
        </w:rPr>
        <w:t xml:space="preserve">- </w:t>
      </w:r>
      <w:r w:rsidRPr="007F4866">
        <w:rPr>
          <w:rFonts w:ascii="Arial" w:eastAsia="Arial" w:hAnsi="Arial" w:cs="Arial"/>
          <w:color w:val="auto"/>
          <w:sz w:val="22"/>
          <w:szCs w:val="22"/>
        </w:rPr>
        <w:tab/>
      </w:r>
      <w:r w:rsidR="00923EE2" w:rsidRPr="007F4866">
        <w:rPr>
          <w:rFonts w:ascii="Arial" w:eastAsia="Arial" w:hAnsi="Arial" w:cs="Arial"/>
          <w:color w:val="auto"/>
          <w:sz w:val="22"/>
          <w:szCs w:val="22"/>
          <w:u w:val="single"/>
        </w:rPr>
        <w:t>Euroguidance</w:t>
      </w:r>
      <w:r w:rsidR="00923EE2" w:rsidRPr="007F4866">
        <w:rPr>
          <w:rFonts w:ascii="Arial" w:eastAsia="Arial" w:hAnsi="Arial" w:cs="Arial"/>
          <w:color w:val="auto"/>
          <w:sz w:val="22"/>
          <w:szCs w:val="22"/>
        </w:rPr>
        <w:t xml:space="preserve"> (mreža Europske komisije osmišljena kao podrška stručnjacima u profesionalnom savjetovanju kroz promicanje europske dimenzije i mobilnosti u svrhu učenja)</w:t>
      </w:r>
      <w:r w:rsidR="002F2A89" w:rsidRPr="007F4866">
        <w:rPr>
          <w:rFonts w:ascii="Arial" w:eastAsia="Arial" w:hAnsi="Arial" w:cs="Arial"/>
          <w:color w:val="auto"/>
          <w:sz w:val="22"/>
          <w:szCs w:val="22"/>
        </w:rPr>
        <w:t>,</w:t>
      </w:r>
    </w:p>
    <w:p w:rsidR="000F3799" w:rsidRDefault="00CF440A" w:rsidP="007C7648">
      <w:pPr>
        <w:ind w:right="-8" w:hanging="359"/>
        <w:jc w:val="both"/>
        <w:rPr>
          <w:rFonts w:ascii="Arial" w:eastAsia="Arial" w:hAnsi="Arial" w:cs="Arial"/>
          <w:color w:val="auto"/>
          <w:sz w:val="22"/>
          <w:szCs w:val="22"/>
        </w:rPr>
      </w:pPr>
      <w:r w:rsidRPr="007F4866">
        <w:rPr>
          <w:rFonts w:ascii="Arial" w:eastAsia="Arial" w:hAnsi="Arial" w:cs="Arial"/>
          <w:color w:val="auto"/>
          <w:sz w:val="22"/>
          <w:szCs w:val="22"/>
        </w:rPr>
        <w:t xml:space="preserve">- </w:t>
      </w:r>
      <w:r w:rsidRPr="007F4866">
        <w:rPr>
          <w:rFonts w:ascii="Arial" w:eastAsia="Arial" w:hAnsi="Arial" w:cs="Arial"/>
          <w:color w:val="auto"/>
          <w:sz w:val="22"/>
          <w:szCs w:val="22"/>
        </w:rPr>
        <w:tab/>
      </w:r>
      <w:r w:rsidR="00923EE2" w:rsidRPr="007F4866">
        <w:rPr>
          <w:rFonts w:ascii="Arial" w:eastAsia="Arial" w:hAnsi="Arial" w:cs="Arial"/>
          <w:color w:val="auto"/>
          <w:sz w:val="22"/>
          <w:szCs w:val="22"/>
          <w:u w:val="single"/>
        </w:rPr>
        <w:t>Eurodesk</w:t>
      </w:r>
      <w:r w:rsidR="00923EE2" w:rsidRPr="007F4866">
        <w:rPr>
          <w:rFonts w:ascii="Arial" w:eastAsia="Arial" w:hAnsi="Arial" w:cs="Arial"/>
          <w:color w:val="auto"/>
          <w:sz w:val="22"/>
          <w:szCs w:val="22"/>
        </w:rPr>
        <w:t xml:space="preserve"> (mreža Europske komisije s ciljem informiranja mladih i osoba koje rade s mladima o mogućnostima koje im pruža Europska unija </w:t>
      </w:r>
      <w:r w:rsidR="002F2A89" w:rsidRPr="007F4866">
        <w:rPr>
          <w:rFonts w:ascii="Arial" w:eastAsia="Arial" w:hAnsi="Arial" w:cs="Arial"/>
          <w:color w:val="auto"/>
          <w:sz w:val="22"/>
          <w:szCs w:val="22"/>
        </w:rPr>
        <w:t>svojim programima i politikama),</w:t>
      </w:r>
    </w:p>
    <w:p w:rsidR="00CB6D36" w:rsidRPr="007F4866" w:rsidRDefault="008A2A1E" w:rsidP="00DF03F0">
      <w:pPr>
        <w:ind w:right="-8"/>
        <w:jc w:val="both"/>
        <w:rPr>
          <w:rFonts w:ascii="Arial" w:hAnsi="Arial" w:cs="Arial"/>
          <w:color w:val="auto"/>
          <w:sz w:val="22"/>
          <w:szCs w:val="22"/>
        </w:rPr>
      </w:pPr>
      <w:r>
        <w:rPr>
          <w:rFonts w:ascii="Arial" w:eastAsia="Arial" w:hAnsi="Arial" w:cs="Arial"/>
          <w:color w:val="auto"/>
          <w:sz w:val="22"/>
          <w:szCs w:val="22"/>
          <w:u w:val="single"/>
        </w:rPr>
        <w:t xml:space="preserve">- </w:t>
      </w:r>
      <w:r w:rsidR="00CB6D36" w:rsidRPr="00DF03F0">
        <w:rPr>
          <w:rFonts w:ascii="Arial" w:eastAsia="Arial" w:hAnsi="Arial" w:cs="Arial"/>
          <w:color w:val="auto"/>
          <w:sz w:val="22"/>
          <w:szCs w:val="22"/>
          <w:u w:val="single"/>
        </w:rPr>
        <w:t>Europska oznaka jezika</w:t>
      </w:r>
      <w:r w:rsidR="00CB6D36">
        <w:rPr>
          <w:rFonts w:ascii="Arial" w:eastAsia="Arial" w:hAnsi="Arial" w:cs="Arial"/>
          <w:color w:val="auto"/>
          <w:sz w:val="22"/>
          <w:szCs w:val="22"/>
        </w:rPr>
        <w:t xml:space="preserve"> (nagrada/priznanje za inovativne projekte u nastavi i učenju jezika)</w:t>
      </w:r>
    </w:p>
    <w:p w:rsidR="008E75B8" w:rsidRPr="007F4866" w:rsidRDefault="0016422E" w:rsidP="008E75B8">
      <w:pPr>
        <w:ind w:right="-8" w:hanging="359"/>
        <w:jc w:val="both"/>
        <w:rPr>
          <w:rFonts w:ascii="Arial" w:eastAsia="Arial" w:hAnsi="Arial" w:cs="Arial"/>
          <w:color w:val="auto"/>
          <w:sz w:val="22"/>
          <w:szCs w:val="22"/>
        </w:rPr>
      </w:pPr>
      <w:r w:rsidRPr="007F4866">
        <w:rPr>
          <w:rFonts w:ascii="Arial" w:eastAsia="Arial" w:hAnsi="Arial" w:cs="Arial"/>
          <w:color w:val="auto"/>
          <w:sz w:val="22"/>
          <w:szCs w:val="22"/>
        </w:rPr>
        <w:t xml:space="preserve">- </w:t>
      </w:r>
      <w:r w:rsidRPr="007F4866">
        <w:rPr>
          <w:rFonts w:ascii="Arial" w:eastAsia="Arial" w:hAnsi="Arial" w:cs="Arial"/>
          <w:color w:val="auto"/>
          <w:sz w:val="22"/>
          <w:szCs w:val="22"/>
        </w:rPr>
        <w:tab/>
      </w:r>
      <w:r w:rsidR="007C7648" w:rsidRPr="007C7648">
        <w:rPr>
          <w:rFonts w:ascii="Arial" w:eastAsia="Arial" w:hAnsi="Arial" w:cs="Arial"/>
          <w:color w:val="auto"/>
          <w:sz w:val="22"/>
          <w:szCs w:val="22"/>
          <w:u w:val="single"/>
        </w:rPr>
        <w:t>H</w:t>
      </w:r>
      <w:r w:rsidR="00AE0D8E">
        <w:rPr>
          <w:rFonts w:ascii="Arial" w:eastAsia="Arial" w:hAnsi="Arial" w:cs="Arial"/>
          <w:color w:val="auto"/>
          <w:sz w:val="22"/>
          <w:szCs w:val="22"/>
          <w:u w:val="single"/>
        </w:rPr>
        <w:t>rvatska r</w:t>
      </w:r>
      <w:r w:rsidR="008E75B8" w:rsidRPr="007C7648">
        <w:rPr>
          <w:rFonts w:ascii="Arial" w:eastAsia="Arial" w:hAnsi="Arial" w:cs="Arial"/>
          <w:color w:val="auto"/>
          <w:sz w:val="22"/>
          <w:szCs w:val="22"/>
          <w:u w:val="single"/>
        </w:rPr>
        <w:t>adna skupina stručnjaka za Europski kreditni sustav u strukovnom obrazovanju i osposobljavanju</w:t>
      </w:r>
      <w:r w:rsidR="008E75B8" w:rsidRPr="007F4866">
        <w:rPr>
          <w:rFonts w:ascii="Arial" w:eastAsia="Arial" w:hAnsi="Arial" w:cs="Arial"/>
          <w:color w:val="auto"/>
          <w:sz w:val="22"/>
          <w:szCs w:val="22"/>
        </w:rPr>
        <w:t xml:space="preserve"> (projekt financiran od strane Europske komisije kojim se potiče prikupljanje, prijenos i priznavanje ishoda učenja učenika iz srednjih strukovnih škola stečeni</w:t>
      </w:r>
      <w:r w:rsidR="007C7648">
        <w:rPr>
          <w:rFonts w:ascii="Arial" w:eastAsia="Arial" w:hAnsi="Arial" w:cs="Arial"/>
          <w:color w:val="auto"/>
          <w:sz w:val="22"/>
          <w:szCs w:val="22"/>
        </w:rPr>
        <w:t>h</w:t>
      </w:r>
      <w:r w:rsidR="008E75B8" w:rsidRPr="007F4866">
        <w:rPr>
          <w:rFonts w:ascii="Arial" w:eastAsia="Arial" w:hAnsi="Arial" w:cs="Arial"/>
          <w:color w:val="auto"/>
          <w:sz w:val="22"/>
          <w:szCs w:val="22"/>
        </w:rPr>
        <w:t xml:space="preserve"> tijekom međunarodne mobilnosti).</w:t>
      </w:r>
    </w:p>
    <w:p w:rsidR="008E75B8" w:rsidRPr="007F4866" w:rsidRDefault="008E75B8" w:rsidP="008E75B8">
      <w:pPr>
        <w:ind w:right="-8"/>
        <w:jc w:val="both"/>
        <w:rPr>
          <w:rFonts w:ascii="Arial" w:hAnsi="Arial" w:cs="Arial"/>
          <w:color w:val="auto"/>
          <w:sz w:val="22"/>
          <w:szCs w:val="22"/>
        </w:rPr>
      </w:pPr>
    </w:p>
    <w:p w:rsidR="000F3799" w:rsidRPr="007F4866" w:rsidRDefault="000F3799" w:rsidP="007C7648">
      <w:pPr>
        <w:ind w:right="-8"/>
        <w:jc w:val="both"/>
        <w:rPr>
          <w:rFonts w:ascii="Arial" w:hAnsi="Arial" w:cs="Arial"/>
          <w:color w:val="auto"/>
          <w:sz w:val="22"/>
          <w:szCs w:val="22"/>
        </w:rPr>
      </w:pPr>
    </w:p>
    <w:p w:rsidR="000F3799" w:rsidRPr="007F4866" w:rsidRDefault="007C7648" w:rsidP="007C7648">
      <w:pPr>
        <w:ind w:right="-8"/>
        <w:jc w:val="both"/>
        <w:rPr>
          <w:rFonts w:ascii="Arial" w:hAnsi="Arial" w:cs="Arial"/>
          <w:color w:val="auto"/>
          <w:sz w:val="22"/>
          <w:szCs w:val="22"/>
        </w:rPr>
      </w:pPr>
      <w:r>
        <w:rPr>
          <w:rFonts w:ascii="Arial" w:eastAsia="Arial" w:hAnsi="Arial" w:cs="Arial"/>
          <w:color w:val="auto"/>
          <w:sz w:val="22"/>
          <w:szCs w:val="22"/>
        </w:rPr>
        <w:t>Rezultati</w:t>
      </w:r>
      <w:r w:rsidR="00923EE2" w:rsidRPr="007F4866">
        <w:rPr>
          <w:rFonts w:ascii="Arial" w:eastAsia="Arial" w:hAnsi="Arial" w:cs="Arial"/>
          <w:color w:val="auto"/>
          <w:sz w:val="22"/>
          <w:szCs w:val="22"/>
        </w:rPr>
        <w:t xml:space="preserve"> provedbe navedenih programa, mreža, inicijativa i projekata </w:t>
      </w:r>
      <w:r>
        <w:rPr>
          <w:rFonts w:ascii="Arial" w:eastAsia="Arial" w:hAnsi="Arial" w:cs="Arial"/>
          <w:color w:val="auto"/>
          <w:sz w:val="22"/>
          <w:szCs w:val="22"/>
        </w:rPr>
        <w:t>opisani su u tekstu izvješća kao i pripadajućim prilozima.</w:t>
      </w:r>
    </w:p>
    <w:p w:rsidR="000F3799" w:rsidRPr="007F4866" w:rsidRDefault="000F3799" w:rsidP="007C7648">
      <w:pPr>
        <w:ind w:right="-8"/>
        <w:jc w:val="both"/>
        <w:rPr>
          <w:rFonts w:ascii="Arial" w:hAnsi="Arial" w:cs="Arial"/>
          <w:color w:val="auto"/>
          <w:sz w:val="22"/>
          <w:szCs w:val="22"/>
        </w:rPr>
      </w:pPr>
    </w:p>
    <w:p w:rsidR="000F3799" w:rsidRPr="007F4866" w:rsidRDefault="007C7648">
      <w:pPr>
        <w:ind w:right="-8"/>
        <w:jc w:val="both"/>
        <w:rPr>
          <w:rFonts w:ascii="Arial" w:hAnsi="Arial" w:cs="Arial"/>
          <w:color w:val="auto"/>
          <w:sz w:val="22"/>
          <w:szCs w:val="22"/>
        </w:rPr>
      </w:pPr>
      <w:r>
        <w:rPr>
          <w:rFonts w:ascii="Arial" w:eastAsia="Arial" w:hAnsi="Arial" w:cs="Arial"/>
          <w:color w:val="auto"/>
          <w:sz w:val="22"/>
          <w:szCs w:val="22"/>
        </w:rPr>
        <w:t>Tijekom 2014</w:t>
      </w:r>
      <w:r w:rsidR="00923EE2" w:rsidRPr="007F4866">
        <w:rPr>
          <w:rFonts w:ascii="Arial" w:eastAsia="Arial" w:hAnsi="Arial" w:cs="Arial"/>
          <w:color w:val="auto"/>
          <w:sz w:val="22"/>
          <w:szCs w:val="22"/>
        </w:rPr>
        <w:t xml:space="preserve">.g. Agencija je </w:t>
      </w:r>
      <w:r w:rsidR="007F11F6" w:rsidRPr="007F4866">
        <w:rPr>
          <w:rFonts w:ascii="Arial" w:eastAsia="Arial" w:hAnsi="Arial" w:cs="Arial"/>
          <w:color w:val="auto"/>
          <w:sz w:val="22"/>
          <w:szCs w:val="22"/>
        </w:rPr>
        <w:t xml:space="preserve">i nadalje </w:t>
      </w:r>
      <w:r w:rsidR="00923EE2" w:rsidRPr="007F4866">
        <w:rPr>
          <w:rFonts w:ascii="Arial" w:eastAsia="Arial" w:hAnsi="Arial" w:cs="Arial"/>
          <w:color w:val="auto"/>
          <w:sz w:val="22"/>
          <w:szCs w:val="22"/>
        </w:rPr>
        <w:t>usko surađivala s nadležnim tijelima – Ministarstvom znanosti, obrazovanja i sporta, Ministarstvom socijalne politike i mladih te Europskom komisijom. Uz redovitu komunikaciju glede različitih provedbenih pitanja, nadležna tijela obavljala su i svoje kontinuirane nadzorne aktivnosti u vidu mjesečnih sastanaka, analize polugodišnjih i godišnjih izvješća, programskih posjeta, nadzornih posjeta te vanjske revizije.</w:t>
      </w:r>
    </w:p>
    <w:p w:rsidR="000F3799" w:rsidRPr="007F4866" w:rsidRDefault="000F3799">
      <w:pPr>
        <w:ind w:right="-8"/>
        <w:jc w:val="both"/>
        <w:rPr>
          <w:rFonts w:ascii="Arial" w:hAnsi="Arial" w:cs="Arial"/>
          <w:color w:val="auto"/>
          <w:sz w:val="22"/>
          <w:szCs w:val="22"/>
        </w:rPr>
      </w:pPr>
    </w:p>
    <w:p w:rsidR="00D222C6" w:rsidRPr="007F4866" w:rsidRDefault="00615EF4" w:rsidP="00D222C6">
      <w:pPr>
        <w:spacing w:before="100" w:after="100"/>
        <w:jc w:val="both"/>
        <w:rPr>
          <w:rFonts w:ascii="Arial" w:eastAsia="Arial" w:hAnsi="Arial" w:cs="Arial"/>
          <w:color w:val="auto"/>
          <w:sz w:val="22"/>
          <w:szCs w:val="22"/>
        </w:rPr>
      </w:pPr>
      <w:r w:rsidRPr="007F4866">
        <w:rPr>
          <w:rFonts w:ascii="Arial" w:eastAsia="Arial" w:hAnsi="Arial" w:cs="Arial"/>
          <w:color w:val="auto"/>
          <w:sz w:val="22"/>
          <w:szCs w:val="22"/>
        </w:rPr>
        <w:t xml:space="preserve">Na operativnoj razini, </w:t>
      </w:r>
      <w:r w:rsidR="007C7648">
        <w:rPr>
          <w:rFonts w:ascii="Arial" w:eastAsia="Arial" w:hAnsi="Arial" w:cs="Arial"/>
          <w:color w:val="auto"/>
          <w:sz w:val="22"/>
          <w:szCs w:val="22"/>
        </w:rPr>
        <w:t xml:space="preserve">uz stalnu potrebu upravljanja ljudskim potencijalima radi fluktuacije djelatnika te potrebe njihovog stalnog usavršavanja, </w:t>
      </w:r>
      <w:r w:rsidRPr="007F4866">
        <w:rPr>
          <w:rFonts w:ascii="Arial" w:eastAsia="Arial" w:hAnsi="Arial" w:cs="Arial"/>
          <w:color w:val="auto"/>
          <w:sz w:val="22"/>
          <w:szCs w:val="22"/>
        </w:rPr>
        <w:t xml:space="preserve">Agencija je </w:t>
      </w:r>
      <w:r w:rsidR="007C7648">
        <w:rPr>
          <w:rFonts w:ascii="Arial" w:eastAsia="Arial" w:hAnsi="Arial" w:cs="Arial"/>
          <w:color w:val="auto"/>
          <w:sz w:val="22"/>
          <w:szCs w:val="22"/>
        </w:rPr>
        <w:t xml:space="preserve">prema poslovnim potrebama </w:t>
      </w:r>
      <w:r w:rsidRPr="007F4866">
        <w:rPr>
          <w:rFonts w:ascii="Arial" w:eastAsia="Arial" w:hAnsi="Arial" w:cs="Arial"/>
          <w:color w:val="auto"/>
          <w:sz w:val="22"/>
          <w:szCs w:val="22"/>
        </w:rPr>
        <w:t>provela postupak usklađivanja unutarnjeg ustrojstva</w:t>
      </w:r>
      <w:r w:rsidR="00D222C6" w:rsidRPr="007F4866">
        <w:rPr>
          <w:rFonts w:ascii="Arial" w:eastAsia="Arial" w:hAnsi="Arial" w:cs="Arial"/>
          <w:color w:val="auto"/>
          <w:sz w:val="22"/>
          <w:szCs w:val="22"/>
        </w:rPr>
        <w:t xml:space="preserve"> </w:t>
      </w:r>
      <w:r w:rsidRPr="007F4866">
        <w:rPr>
          <w:rFonts w:ascii="Arial" w:eastAsia="Arial" w:hAnsi="Arial" w:cs="Arial"/>
          <w:color w:val="auto"/>
          <w:sz w:val="22"/>
          <w:szCs w:val="22"/>
        </w:rPr>
        <w:t xml:space="preserve">izmjenama i dopunama </w:t>
      </w:r>
      <w:r w:rsidR="00D222C6" w:rsidRPr="007F4866">
        <w:rPr>
          <w:rFonts w:ascii="Arial" w:eastAsia="Arial" w:hAnsi="Arial" w:cs="Arial"/>
          <w:color w:val="auto"/>
          <w:sz w:val="22"/>
          <w:szCs w:val="22"/>
        </w:rPr>
        <w:t xml:space="preserve">Pravilnika o unutarnjem ustrojstvu i sistematizaciji radnih mjesta te </w:t>
      </w:r>
      <w:r w:rsidR="00CD062B">
        <w:rPr>
          <w:rFonts w:ascii="Arial" w:eastAsia="Arial" w:hAnsi="Arial" w:cs="Arial"/>
          <w:color w:val="auto"/>
          <w:sz w:val="22"/>
          <w:szCs w:val="22"/>
        </w:rPr>
        <w:t>sudjelovala u postupku izmjena i dopuna</w:t>
      </w:r>
      <w:r w:rsidR="00D222C6" w:rsidRPr="007F4866">
        <w:rPr>
          <w:rFonts w:ascii="Arial" w:eastAsia="Arial" w:hAnsi="Arial" w:cs="Arial"/>
          <w:color w:val="auto"/>
          <w:sz w:val="22"/>
          <w:szCs w:val="22"/>
        </w:rPr>
        <w:t xml:space="preserve"> Zakona o Agenciji.</w:t>
      </w:r>
    </w:p>
    <w:p w:rsidR="00D222C6" w:rsidRPr="007F4866" w:rsidRDefault="007C7648" w:rsidP="00D222C6">
      <w:pPr>
        <w:spacing w:before="100" w:after="100"/>
        <w:jc w:val="both"/>
        <w:rPr>
          <w:rFonts w:ascii="Arial" w:eastAsia="Arial" w:hAnsi="Arial" w:cs="Arial"/>
          <w:color w:val="auto"/>
          <w:sz w:val="22"/>
          <w:szCs w:val="22"/>
        </w:rPr>
      </w:pPr>
      <w:r>
        <w:rPr>
          <w:rFonts w:ascii="Arial" w:eastAsia="Arial" w:hAnsi="Arial" w:cs="Arial"/>
          <w:color w:val="auto"/>
          <w:sz w:val="22"/>
          <w:szCs w:val="22"/>
        </w:rPr>
        <w:t xml:space="preserve">Sredinom 2014. slijedom provedenog javnog natječaja odabrana je nova ravnateljica Agencije, </w:t>
      </w:r>
      <w:r w:rsidR="00D222C6" w:rsidRPr="007F4866">
        <w:rPr>
          <w:rFonts w:ascii="Arial" w:eastAsia="Arial" w:hAnsi="Arial" w:cs="Arial"/>
          <w:color w:val="auto"/>
          <w:sz w:val="22"/>
          <w:szCs w:val="22"/>
        </w:rPr>
        <w:t>svi procesi i programi u nadležnosti Agencije nastav</w:t>
      </w:r>
      <w:r>
        <w:rPr>
          <w:rFonts w:ascii="Arial" w:eastAsia="Arial" w:hAnsi="Arial" w:cs="Arial"/>
          <w:color w:val="auto"/>
          <w:sz w:val="22"/>
          <w:szCs w:val="22"/>
        </w:rPr>
        <w:t>ljeni su nesmetano i kvalitetno.</w:t>
      </w:r>
    </w:p>
    <w:p w:rsidR="000F3799" w:rsidRPr="007F4866" w:rsidRDefault="000F3799">
      <w:pPr>
        <w:ind w:right="-8"/>
        <w:jc w:val="both"/>
        <w:rPr>
          <w:rFonts w:ascii="Arial" w:hAnsi="Arial" w:cs="Arial"/>
          <w:color w:val="auto"/>
          <w:sz w:val="22"/>
          <w:szCs w:val="22"/>
        </w:rPr>
      </w:pPr>
    </w:p>
    <w:p w:rsidR="000F3799" w:rsidRPr="007F4866" w:rsidRDefault="00D222C6">
      <w:pPr>
        <w:ind w:right="-8"/>
        <w:jc w:val="both"/>
        <w:rPr>
          <w:rFonts w:ascii="Arial" w:hAnsi="Arial" w:cs="Arial"/>
          <w:color w:val="auto"/>
          <w:sz w:val="22"/>
          <w:szCs w:val="22"/>
        </w:rPr>
      </w:pPr>
      <w:r w:rsidRPr="007F4866">
        <w:rPr>
          <w:rFonts w:ascii="Arial" w:eastAsia="Arial" w:hAnsi="Arial" w:cs="Arial"/>
          <w:color w:val="auto"/>
          <w:sz w:val="22"/>
          <w:szCs w:val="22"/>
        </w:rPr>
        <w:t>T</w:t>
      </w:r>
      <w:r w:rsidR="007C7648">
        <w:rPr>
          <w:rFonts w:ascii="Arial" w:eastAsia="Arial" w:hAnsi="Arial" w:cs="Arial"/>
          <w:color w:val="auto"/>
          <w:sz w:val="22"/>
          <w:szCs w:val="22"/>
        </w:rPr>
        <w:t>ijekom 2015</w:t>
      </w:r>
      <w:r w:rsidR="00923EE2" w:rsidRPr="007F4866">
        <w:rPr>
          <w:rFonts w:ascii="Arial" w:eastAsia="Arial" w:hAnsi="Arial" w:cs="Arial"/>
          <w:color w:val="auto"/>
          <w:sz w:val="22"/>
          <w:szCs w:val="22"/>
        </w:rPr>
        <w:t xml:space="preserve">.g. </w:t>
      </w:r>
      <w:r w:rsidRPr="007F4866">
        <w:rPr>
          <w:rFonts w:ascii="Arial" w:eastAsia="Arial" w:hAnsi="Arial" w:cs="Arial"/>
          <w:color w:val="auto"/>
          <w:sz w:val="22"/>
          <w:szCs w:val="22"/>
        </w:rPr>
        <w:t xml:space="preserve">Agencija će nastaviti svojim korisnicima i potencijalnim prijaviteljima </w:t>
      </w:r>
      <w:r w:rsidR="00923EE2" w:rsidRPr="007F4866">
        <w:rPr>
          <w:rFonts w:ascii="Arial" w:eastAsia="Arial" w:hAnsi="Arial" w:cs="Arial"/>
          <w:color w:val="auto"/>
          <w:sz w:val="22"/>
          <w:szCs w:val="22"/>
        </w:rPr>
        <w:t>pruž</w:t>
      </w:r>
      <w:r w:rsidR="00C82D32" w:rsidRPr="007F4866">
        <w:rPr>
          <w:rFonts w:ascii="Arial" w:eastAsia="Arial" w:hAnsi="Arial" w:cs="Arial"/>
          <w:color w:val="auto"/>
          <w:sz w:val="22"/>
          <w:szCs w:val="22"/>
        </w:rPr>
        <w:t>a</w:t>
      </w:r>
      <w:r w:rsidR="00923EE2" w:rsidRPr="007F4866">
        <w:rPr>
          <w:rFonts w:ascii="Arial" w:eastAsia="Arial" w:hAnsi="Arial" w:cs="Arial"/>
          <w:color w:val="auto"/>
          <w:sz w:val="22"/>
          <w:szCs w:val="22"/>
        </w:rPr>
        <w:t xml:space="preserve">ti </w:t>
      </w:r>
      <w:r w:rsidRPr="007F4866">
        <w:rPr>
          <w:rFonts w:ascii="Arial" w:eastAsia="Arial" w:hAnsi="Arial" w:cs="Arial"/>
          <w:color w:val="auto"/>
          <w:sz w:val="22"/>
          <w:szCs w:val="22"/>
        </w:rPr>
        <w:t xml:space="preserve">sve potrebne informacije i upute za uspješnu prijavu na natječaje kao </w:t>
      </w:r>
      <w:r w:rsidR="00923EE2" w:rsidRPr="007F4866">
        <w:rPr>
          <w:rFonts w:ascii="Arial" w:eastAsia="Arial" w:hAnsi="Arial" w:cs="Arial"/>
          <w:color w:val="auto"/>
          <w:sz w:val="22"/>
          <w:szCs w:val="22"/>
        </w:rPr>
        <w:t xml:space="preserve">i dodatne informacije s većim naglaskom na nacionalne strateške dokumente te dokumente Europske unije, </w:t>
      </w:r>
      <w:r w:rsidRPr="007F4866">
        <w:rPr>
          <w:rFonts w:ascii="Arial" w:eastAsia="Arial" w:hAnsi="Arial" w:cs="Arial"/>
          <w:color w:val="auto"/>
          <w:sz w:val="22"/>
          <w:szCs w:val="22"/>
        </w:rPr>
        <w:t>radi nužno potrebnog razumijevanja i povezivanja projekata i programa sa strategijama u svrhu dosizanja</w:t>
      </w:r>
      <w:r w:rsidR="00923EE2" w:rsidRPr="007F4866">
        <w:rPr>
          <w:rFonts w:ascii="Arial" w:eastAsia="Arial" w:hAnsi="Arial" w:cs="Arial"/>
          <w:color w:val="auto"/>
          <w:sz w:val="22"/>
          <w:szCs w:val="22"/>
        </w:rPr>
        <w:t xml:space="preserve"> </w:t>
      </w:r>
      <w:r w:rsidR="00CB6D36" w:rsidRPr="007F4866">
        <w:rPr>
          <w:rFonts w:ascii="Arial" w:eastAsia="Arial" w:hAnsi="Arial" w:cs="Arial"/>
          <w:color w:val="auto"/>
          <w:sz w:val="22"/>
          <w:szCs w:val="22"/>
        </w:rPr>
        <w:t>njima postavljeni</w:t>
      </w:r>
      <w:r w:rsidR="00CB6D36">
        <w:rPr>
          <w:rFonts w:ascii="Arial" w:eastAsia="Arial" w:hAnsi="Arial" w:cs="Arial"/>
          <w:color w:val="auto"/>
          <w:sz w:val="22"/>
          <w:szCs w:val="22"/>
        </w:rPr>
        <w:t>h</w:t>
      </w:r>
      <w:r w:rsidR="00CB6D36" w:rsidRPr="007F4866">
        <w:rPr>
          <w:rFonts w:ascii="Arial" w:eastAsia="Arial" w:hAnsi="Arial" w:cs="Arial"/>
          <w:color w:val="auto"/>
          <w:sz w:val="22"/>
          <w:szCs w:val="22"/>
        </w:rPr>
        <w:t xml:space="preserve"> </w:t>
      </w:r>
      <w:r w:rsidR="00923EE2" w:rsidRPr="007F4866">
        <w:rPr>
          <w:rFonts w:ascii="Arial" w:eastAsia="Arial" w:hAnsi="Arial" w:cs="Arial"/>
          <w:color w:val="auto"/>
          <w:sz w:val="22"/>
          <w:szCs w:val="22"/>
        </w:rPr>
        <w:t>ciljeva .</w:t>
      </w:r>
    </w:p>
    <w:p w:rsidR="006E210C" w:rsidRPr="007F4866" w:rsidRDefault="006E210C" w:rsidP="006E210C">
      <w:pPr>
        <w:ind w:right="-8"/>
        <w:jc w:val="both"/>
        <w:rPr>
          <w:rFonts w:ascii="Arial" w:eastAsia="Arial" w:hAnsi="Arial" w:cs="Arial"/>
          <w:color w:val="auto"/>
          <w:sz w:val="22"/>
          <w:szCs w:val="22"/>
        </w:rPr>
      </w:pPr>
      <w:bookmarkStart w:id="3" w:name="h.3znysh7" w:colFirst="0" w:colLast="0"/>
      <w:bookmarkEnd w:id="3"/>
    </w:p>
    <w:p w:rsidR="007C7648" w:rsidRDefault="006E210C" w:rsidP="007E4E76">
      <w:pPr>
        <w:ind w:right="-8"/>
        <w:jc w:val="both"/>
        <w:rPr>
          <w:rFonts w:ascii="Arial" w:eastAsia="Arial" w:hAnsi="Arial" w:cs="Arial"/>
          <w:color w:val="auto"/>
          <w:sz w:val="22"/>
          <w:szCs w:val="22"/>
        </w:rPr>
      </w:pPr>
      <w:r w:rsidRPr="007F4866">
        <w:rPr>
          <w:rFonts w:ascii="Arial" w:eastAsia="Arial" w:hAnsi="Arial" w:cs="Arial"/>
          <w:color w:val="auto"/>
          <w:sz w:val="22"/>
          <w:szCs w:val="22"/>
        </w:rPr>
        <w:t xml:space="preserve">Cilj je zadržati visokokvalitetan, profesionalan i </w:t>
      </w:r>
      <w:r w:rsidR="00C82D32" w:rsidRPr="007F4866">
        <w:rPr>
          <w:rFonts w:ascii="Arial" w:eastAsia="Arial" w:hAnsi="Arial" w:cs="Arial"/>
          <w:color w:val="auto"/>
          <w:sz w:val="22"/>
          <w:szCs w:val="22"/>
        </w:rPr>
        <w:t>korisnički usmjeren</w:t>
      </w:r>
      <w:r w:rsidR="00CC0ECC" w:rsidRPr="007F4866">
        <w:rPr>
          <w:rFonts w:ascii="Arial" w:eastAsia="Arial" w:hAnsi="Arial" w:cs="Arial"/>
          <w:color w:val="auto"/>
          <w:sz w:val="22"/>
          <w:szCs w:val="22"/>
        </w:rPr>
        <w:t xml:space="preserve"> </w:t>
      </w:r>
      <w:r w:rsidRPr="007F4866">
        <w:rPr>
          <w:rFonts w:ascii="Arial" w:eastAsia="Arial" w:hAnsi="Arial" w:cs="Arial"/>
          <w:color w:val="auto"/>
          <w:sz w:val="22"/>
          <w:szCs w:val="22"/>
        </w:rPr>
        <w:t>pristup poslovanju i u sljedećoj godini, uz potporu i suradnju nadležnih ministarstava te otvorenom suradnjom sa svim partnerima.</w:t>
      </w:r>
      <w:r w:rsidRPr="00E85451">
        <w:rPr>
          <w:rFonts w:ascii="Arial" w:eastAsia="Arial" w:hAnsi="Arial" w:cs="Arial"/>
          <w:color w:val="auto"/>
          <w:sz w:val="22"/>
          <w:szCs w:val="22"/>
        </w:rPr>
        <w:t xml:space="preserve"> </w:t>
      </w:r>
    </w:p>
    <w:p w:rsidR="007C7648" w:rsidRDefault="007C7648">
      <w:pPr>
        <w:rPr>
          <w:rFonts w:ascii="Arial" w:eastAsia="Arial" w:hAnsi="Arial" w:cs="Arial"/>
          <w:color w:val="auto"/>
          <w:sz w:val="22"/>
          <w:szCs w:val="22"/>
        </w:rPr>
      </w:pPr>
      <w:r>
        <w:rPr>
          <w:rFonts w:ascii="Arial" w:eastAsia="Arial" w:hAnsi="Arial" w:cs="Arial"/>
          <w:color w:val="auto"/>
          <w:sz w:val="22"/>
          <w:szCs w:val="22"/>
        </w:rPr>
        <w:br w:type="page"/>
      </w:r>
    </w:p>
    <w:p w:rsidR="005E3AD9" w:rsidRPr="00E85451" w:rsidRDefault="005E3AD9" w:rsidP="007E4E76">
      <w:pPr>
        <w:ind w:right="-8"/>
        <w:jc w:val="both"/>
        <w:rPr>
          <w:rFonts w:ascii="Arial" w:hAnsi="Arial" w:cs="Arial"/>
          <w:color w:val="auto"/>
          <w:sz w:val="22"/>
          <w:szCs w:val="22"/>
        </w:rPr>
      </w:pPr>
    </w:p>
    <w:p w:rsidR="000F3799" w:rsidRPr="000F3158" w:rsidRDefault="00923EE2" w:rsidP="00601741">
      <w:pPr>
        <w:pStyle w:val="Heading1"/>
        <w:numPr>
          <w:ilvl w:val="0"/>
          <w:numId w:val="27"/>
        </w:numPr>
        <w:rPr>
          <w:rFonts w:ascii="Arial" w:hAnsi="Arial" w:cs="Arial"/>
          <w:color w:val="auto"/>
          <w:sz w:val="28"/>
          <w:szCs w:val="28"/>
        </w:rPr>
      </w:pPr>
      <w:bookmarkStart w:id="4" w:name="h.2et92p0" w:colFirst="0" w:colLast="0"/>
      <w:bookmarkStart w:id="5" w:name="_Toc419192149"/>
      <w:bookmarkEnd w:id="4"/>
      <w:r w:rsidRPr="000F3158">
        <w:rPr>
          <w:rFonts w:ascii="Arial" w:hAnsi="Arial" w:cs="Arial"/>
          <w:color w:val="auto"/>
          <w:sz w:val="28"/>
          <w:szCs w:val="28"/>
        </w:rPr>
        <w:t>Pro</w:t>
      </w:r>
      <w:r w:rsidR="00056281" w:rsidRPr="000F3158">
        <w:rPr>
          <w:rFonts w:ascii="Arial" w:hAnsi="Arial" w:cs="Arial"/>
          <w:color w:val="auto"/>
          <w:sz w:val="28"/>
          <w:szCs w:val="28"/>
        </w:rPr>
        <w:t>gramske aktivnosti</w:t>
      </w:r>
      <w:bookmarkEnd w:id="5"/>
    </w:p>
    <w:p w:rsidR="000F3799" w:rsidRPr="00E85451" w:rsidRDefault="000F3799" w:rsidP="00F74C0A">
      <w:pPr>
        <w:ind w:right="-154"/>
        <w:rPr>
          <w:rFonts w:ascii="Arial" w:hAnsi="Arial" w:cs="Arial"/>
          <w:color w:val="auto"/>
          <w:sz w:val="22"/>
          <w:szCs w:val="22"/>
        </w:rPr>
      </w:pPr>
      <w:bookmarkStart w:id="6" w:name="h.tyjcwt" w:colFirst="0" w:colLast="0"/>
      <w:bookmarkEnd w:id="6"/>
    </w:p>
    <w:p w:rsidR="00056281" w:rsidRPr="000F3158" w:rsidRDefault="00056281" w:rsidP="00601741">
      <w:pPr>
        <w:pStyle w:val="Heading2"/>
        <w:rPr>
          <w:rFonts w:ascii="Arial" w:hAnsi="Arial" w:cs="Arial"/>
          <w:color w:val="auto"/>
          <w:sz w:val="24"/>
          <w:szCs w:val="24"/>
        </w:rPr>
      </w:pPr>
      <w:bookmarkStart w:id="7" w:name="_Toc419192150"/>
      <w:r w:rsidRPr="000F3158">
        <w:rPr>
          <w:rFonts w:ascii="Arial" w:hAnsi="Arial" w:cs="Arial"/>
          <w:color w:val="auto"/>
          <w:sz w:val="24"/>
          <w:szCs w:val="24"/>
        </w:rPr>
        <w:t>2.1. Program Erasmus+</w:t>
      </w:r>
      <w:bookmarkEnd w:id="7"/>
    </w:p>
    <w:p w:rsidR="00056281" w:rsidRPr="00E85451" w:rsidRDefault="00056281" w:rsidP="00D21772">
      <w:pPr>
        <w:ind w:right="-154"/>
        <w:jc w:val="both"/>
        <w:rPr>
          <w:rFonts w:ascii="Arial" w:hAnsi="Arial" w:cs="Arial"/>
          <w:color w:val="auto"/>
          <w:sz w:val="22"/>
          <w:szCs w:val="22"/>
        </w:rPr>
      </w:pPr>
    </w:p>
    <w:tbl>
      <w:tblPr>
        <w:tblW w:w="10039" w:type="dxa"/>
        <w:tblInd w:w="-603" w:type="dxa"/>
        <w:tblLayout w:type="fixed"/>
        <w:tblLook w:val="0600" w:firstRow="0" w:lastRow="0" w:firstColumn="0" w:lastColumn="0" w:noHBand="1" w:noVBand="1"/>
      </w:tblPr>
      <w:tblGrid>
        <w:gridCol w:w="1550"/>
        <w:gridCol w:w="8489"/>
      </w:tblGrid>
      <w:tr w:rsidR="00E85451" w:rsidRPr="00E85451" w:rsidTr="00601741">
        <w:tc>
          <w:tcPr>
            <w:tcW w:w="1550" w:type="dxa"/>
            <w:tcMar>
              <w:top w:w="105" w:type="dxa"/>
              <w:left w:w="105" w:type="dxa"/>
              <w:bottom w:w="105" w:type="dxa"/>
              <w:right w:w="105" w:type="dxa"/>
            </w:tcMar>
          </w:tcPr>
          <w:p w:rsidR="007167B5" w:rsidRPr="00E85451" w:rsidRDefault="007167B5" w:rsidP="00601741">
            <w:pPr>
              <w:ind w:right="-539"/>
              <w:rPr>
                <w:rFonts w:ascii="Arial" w:hAnsi="Arial" w:cs="Arial"/>
                <w:color w:val="auto"/>
                <w:sz w:val="22"/>
                <w:szCs w:val="22"/>
              </w:rPr>
            </w:pPr>
            <w:r w:rsidRPr="00E85451">
              <w:rPr>
                <w:rFonts w:ascii="Arial" w:eastAsia="Arial" w:hAnsi="Arial" w:cs="Arial"/>
                <w:color w:val="auto"/>
                <w:sz w:val="22"/>
                <w:szCs w:val="22"/>
              </w:rPr>
              <w:t>Ukratko o programu i ciljevima:</w:t>
            </w:r>
          </w:p>
        </w:tc>
        <w:tc>
          <w:tcPr>
            <w:tcW w:w="8489" w:type="dxa"/>
            <w:tcMar>
              <w:top w:w="105" w:type="dxa"/>
              <w:left w:w="105" w:type="dxa"/>
              <w:bottom w:w="105" w:type="dxa"/>
              <w:right w:w="105" w:type="dxa"/>
            </w:tcMar>
          </w:tcPr>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 xml:space="preserve">Erasmus+ je najveći program Europske unije za obrazovanje, osposobljavanje, mlade i sport te obuhvaća razdoblje od 2014. do 2020. godine. Program uzima u obzir strukturu i specifične potrebe različitih sektora država članica EU te pokriva sljedeća područja: </w:t>
            </w: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 xml:space="preserve">(1) obrazovanje i osposobljavanje na svim razinama, uključujući školsko obrazovanje (Comenius), visoko obrazovanje (Erasmus; Erasmus Mundus; Tempus; ALFA; Edulink; Jean Monnet aktivnosti), strukovno obrazovanje i osposobljavanje (Leonardo da Vinci) i obrazovanje odraslih (Grundtvig); </w:t>
            </w: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 xml:space="preserve">(2) mlade (Mladi na djelu), naročito u smislu neformalno i informalnog učenja; </w:t>
            </w: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(3) sport, naročito amaterski sport.</w:t>
            </w:r>
          </w:p>
          <w:p w:rsidR="007167B5" w:rsidRPr="00E85451" w:rsidRDefault="007167B5" w:rsidP="007A7132">
            <w:pPr>
              <w:pStyle w:val="Default"/>
              <w:jc w:val="both"/>
              <w:rPr>
                <w:color w:val="auto"/>
                <w:sz w:val="22"/>
                <w:szCs w:val="22"/>
              </w:rPr>
            </w:pPr>
          </w:p>
          <w:p w:rsidR="007167B5" w:rsidRPr="00E85451" w:rsidRDefault="007167B5" w:rsidP="007A7132">
            <w:pPr>
              <w:pStyle w:val="Default"/>
              <w:jc w:val="both"/>
              <w:rPr>
                <w:color w:val="auto"/>
                <w:sz w:val="22"/>
                <w:szCs w:val="22"/>
              </w:rPr>
            </w:pPr>
            <w:r w:rsidRPr="00E85451">
              <w:rPr>
                <w:color w:val="auto"/>
                <w:sz w:val="22"/>
                <w:szCs w:val="22"/>
              </w:rPr>
              <w:t>Na razini Europske unije za provedbu programa Erasmus+ izdvojeno je oko 14,7 milijardi eura. Proračun programa Erasmus+ za dijelove programa koje izravno provodi Agencija u 2014. godini iznosio je 12.952.107,00 eura (98.436.013,00 kn). Imajući u vidu da program traje 7 godina te da se očekuje 40 % povećanja proračuna u odnosu na početne proračune, RH će za sudjelovanje u programu Erasmus+ do 2020. godine osigurati gotovo milijardu kuna.</w:t>
            </w:r>
          </w:p>
          <w:p w:rsidR="007167B5" w:rsidRPr="00E85451" w:rsidRDefault="007167B5" w:rsidP="007A7132">
            <w:pPr>
              <w:pStyle w:val="Default"/>
              <w:jc w:val="both"/>
              <w:rPr>
                <w:color w:val="auto"/>
                <w:sz w:val="22"/>
                <w:szCs w:val="22"/>
              </w:rPr>
            </w:pP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 xml:space="preserve">Program treba pridonijeti postizanju: </w:t>
            </w:r>
          </w:p>
          <w:p w:rsidR="007167B5" w:rsidRPr="00E85451" w:rsidRDefault="007167B5" w:rsidP="007A7132">
            <w:pPr>
              <w:jc w:val="both"/>
              <w:rPr>
                <w:rFonts w:ascii="Arial" w:hAnsi="Arial" w:cs="Arial"/>
                <w:color w:val="auto"/>
                <w:sz w:val="22"/>
                <w:szCs w:val="22"/>
              </w:rPr>
            </w:pP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(a) ciljeva Strategije Europa 2020</w:t>
            </w: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(b) ciljeva Strateškog okvira europske suradnje u obrazovanju i osposobljavanju (ET 2020)</w:t>
            </w: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(c) održivog razvoja partnerskih zemalja u području visokog obrazovanja</w:t>
            </w: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(d) sveukupnih ciljeva Okvira za europsku suradnju u području mladih za razdoblje od 2010.-2018. g.</w:t>
            </w: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(e) ciljeva Razvoja europske dimenzije u sportu, naročito amaterskom sportu, u skladu s Planom rada EU za sport za razdoblje od 2014.-2017. g.</w:t>
            </w: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(f) promocije europskih vrijednosti u skladu s 2. člankom Ugovora o Europskoj uniji (</w:t>
            </w:r>
            <w:r w:rsidRPr="00E85451">
              <w:rPr>
                <w:rFonts w:ascii="Arial" w:hAnsi="Arial" w:cs="Arial"/>
                <w:i/>
                <w:color w:val="auto"/>
                <w:sz w:val="22"/>
                <w:szCs w:val="22"/>
              </w:rPr>
              <w:t>Treaty on European Union</w:t>
            </w:r>
            <w:r w:rsidRPr="00E85451">
              <w:rPr>
                <w:rFonts w:ascii="Arial" w:hAnsi="Arial" w:cs="Arial"/>
                <w:color w:val="auto"/>
                <w:sz w:val="22"/>
                <w:szCs w:val="22"/>
              </w:rPr>
              <w:t>).</w:t>
            </w:r>
          </w:p>
          <w:p w:rsidR="007167B5" w:rsidRPr="00E85451" w:rsidRDefault="007167B5" w:rsidP="007A7132">
            <w:pPr>
              <w:jc w:val="both"/>
              <w:rPr>
                <w:rFonts w:ascii="Arial" w:hAnsi="Arial" w:cs="Arial"/>
                <w:color w:val="auto"/>
                <w:sz w:val="22"/>
                <w:szCs w:val="22"/>
              </w:rPr>
            </w:pP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Strategija Europa 2020 za pametan, održiv i uključiv rast definira strategiju razvoja Europske unije određujući 5 ambicioznih ciljeva koji se trebaju postići do 2020. g., naročito u području obrazovanja gdje je cilj smanjiti postotak ranog napuštanja školovanja na razinu od 10% i završavanje visokoškolskog obrazovanja barem 40% osoba u dobi od 30-34 godine. Unaprjeđenja u području obrazovanja trebaju naročito pridonijeti stvaranju novih radnih mjesta te smanjiti sveukupno siromaštvo i socijalnu isključenost.</w:t>
            </w:r>
          </w:p>
          <w:p w:rsidR="007167B5" w:rsidRPr="00E85451" w:rsidRDefault="007167B5" w:rsidP="007A7132">
            <w:pPr>
              <w:jc w:val="both"/>
              <w:rPr>
                <w:rFonts w:ascii="Arial" w:hAnsi="Arial" w:cs="Arial"/>
                <w:color w:val="auto"/>
                <w:sz w:val="22"/>
                <w:szCs w:val="22"/>
              </w:rPr>
            </w:pP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Važnost jačeg povezivanja programa Erasmus+ s političkim razvojem u obrazovanju, osposobljavanju i mladima ogleda se u strukturi aktivnosti koja bolje odgovara cjeloživotnoj paradigmi te koja ima fleksibilniji pristup u samoj implementaciji.</w:t>
            </w:r>
          </w:p>
          <w:p w:rsidR="007167B5" w:rsidRPr="00E85451" w:rsidRDefault="007167B5" w:rsidP="007A7132">
            <w:pPr>
              <w:jc w:val="both"/>
              <w:rPr>
                <w:rFonts w:ascii="Arial" w:hAnsi="Arial" w:cs="Arial"/>
                <w:color w:val="auto"/>
                <w:sz w:val="22"/>
                <w:szCs w:val="22"/>
              </w:rPr>
            </w:pP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Ciljevi programa Erasmus+ u području obrazovanja i osposobljavanja i mladih se trebaju ostvariti kroz sljedeće 3 ključne aktivnosti:</w:t>
            </w:r>
          </w:p>
          <w:p w:rsidR="007167B5" w:rsidRPr="00E85451" w:rsidRDefault="007167B5" w:rsidP="007A7132">
            <w:pPr>
              <w:jc w:val="both"/>
              <w:rPr>
                <w:rFonts w:ascii="Arial" w:hAnsi="Arial" w:cs="Arial"/>
                <w:color w:val="auto"/>
                <w:sz w:val="22"/>
                <w:szCs w:val="22"/>
              </w:rPr>
            </w:pP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 xml:space="preserve">(a) Ključna aktivnost 1 (Mobilnost u svrhu učenja za pojedince) </w:t>
            </w: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 xml:space="preserve">(b) Ključna aktivnost 2 (Suradnja za inovacije i razmjenu dobre prakse) </w:t>
            </w: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(c) Ključna aktivnost 3 (Podrška reformi)</w:t>
            </w: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 Jean Monnet centralizirane aktivnosti</w:t>
            </w:r>
          </w:p>
          <w:p w:rsidR="007167B5" w:rsidRPr="00E85451" w:rsidRDefault="007167B5" w:rsidP="007A7132">
            <w:pPr>
              <w:jc w:val="both"/>
              <w:rPr>
                <w:rFonts w:ascii="Arial" w:hAnsi="Arial" w:cs="Arial"/>
                <w:color w:val="auto"/>
                <w:sz w:val="22"/>
                <w:szCs w:val="22"/>
              </w:rPr>
            </w:pPr>
          </w:p>
          <w:p w:rsidR="007167B5" w:rsidRPr="00E85451" w:rsidRDefault="007167B5" w:rsidP="007A7132">
            <w:pPr>
              <w:pStyle w:val="Default"/>
              <w:spacing w:after="29"/>
              <w:jc w:val="both"/>
              <w:rPr>
                <w:color w:val="auto"/>
                <w:sz w:val="22"/>
                <w:szCs w:val="22"/>
              </w:rPr>
            </w:pPr>
            <w:r w:rsidRPr="00E85451">
              <w:rPr>
                <w:color w:val="auto"/>
                <w:sz w:val="22"/>
                <w:szCs w:val="22"/>
              </w:rPr>
              <w:t>Program je posebno usmjeren povezivanju obrazovanja, osposobljavanja i sektora mladih s poslovnim sektorom, te je otvoren za njihove zajedničke projekte.</w:t>
            </w:r>
          </w:p>
          <w:p w:rsidR="007167B5" w:rsidRPr="00E85451" w:rsidRDefault="007167B5" w:rsidP="007A7132">
            <w:pPr>
              <w:pStyle w:val="Default"/>
              <w:spacing w:after="29"/>
              <w:jc w:val="both"/>
              <w:rPr>
                <w:color w:val="auto"/>
                <w:sz w:val="22"/>
                <w:szCs w:val="22"/>
              </w:rPr>
            </w:pPr>
            <w:r w:rsidRPr="00E85451">
              <w:rPr>
                <w:color w:val="auto"/>
                <w:sz w:val="22"/>
                <w:szCs w:val="22"/>
              </w:rPr>
              <w:t>Aktivnosti programa Erasmus+ nude mogućnosti međunarodne mobilnosti za pojedince, među ostalim provođenje razdoblja studija u inozemstvu, obavljanje stručne prakse, stručna usavršavanja i osposobljavanja, volontiranja, razmjene mladih i rada na zajedničkim projektima. Program nudi i mogućnosti suradnje ustanovama iz cijelog svijeta kroz određene aktivnosti u području visokog obrazovanja.</w:t>
            </w:r>
          </w:p>
          <w:p w:rsidR="007167B5" w:rsidRPr="00E85451" w:rsidRDefault="007167B5" w:rsidP="007A7132">
            <w:pPr>
              <w:pStyle w:val="Default"/>
              <w:spacing w:after="29"/>
              <w:jc w:val="both"/>
              <w:rPr>
                <w:color w:val="auto"/>
                <w:sz w:val="22"/>
                <w:szCs w:val="22"/>
              </w:rPr>
            </w:pP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Program Erasmus+ također promovira ravnopravnost spolova i mjere za borbu protiv bilo koje vrste diskriminacije. Slijedom toga, postoji potreba da se olakša pristup za ljude u nepovoljnom položaju i aktivno adresiraju posebne potrebe osoba s invaliditetom u samoj provedbi programa.</w:t>
            </w:r>
          </w:p>
          <w:p w:rsidR="007167B5" w:rsidRPr="00E85451" w:rsidRDefault="007167B5" w:rsidP="007A7132">
            <w:pPr>
              <w:pStyle w:val="Default"/>
              <w:spacing w:after="29"/>
              <w:jc w:val="both"/>
              <w:rPr>
                <w:color w:val="auto"/>
                <w:sz w:val="22"/>
                <w:szCs w:val="22"/>
              </w:rPr>
            </w:pP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 xml:space="preserve">Republika Hrvatska se od 2014. godine po prvi puta pridružila i provedbi inicijative Europska oznaka jezika. Ona pretpostavlja nagrađivanje inovativnih projekata u nastavi u učenju jezika  te na taj način potiče nove inicijative u području učenja i podučavanja te promiče i potiče uvođenje dobre prakse. </w:t>
            </w:r>
          </w:p>
          <w:p w:rsidR="007167B5" w:rsidRPr="00E85451" w:rsidRDefault="007167B5" w:rsidP="007A7132">
            <w:pPr>
              <w:pStyle w:val="Default"/>
              <w:ind w:left="720"/>
              <w:jc w:val="both"/>
              <w:rPr>
                <w:color w:val="auto"/>
                <w:sz w:val="22"/>
                <w:szCs w:val="22"/>
              </w:rPr>
            </w:pPr>
          </w:p>
          <w:p w:rsidR="007167B5" w:rsidRPr="00E85451" w:rsidRDefault="007167B5" w:rsidP="007A7132">
            <w:pPr>
              <w:jc w:val="both"/>
              <w:rPr>
                <w:rFonts w:ascii="Arial" w:hAnsi="Arial" w:cs="Arial"/>
                <w:color w:val="auto"/>
                <w:sz w:val="22"/>
                <w:szCs w:val="22"/>
              </w:rPr>
            </w:pPr>
            <w:r w:rsidRPr="00E85451">
              <w:rPr>
                <w:rFonts w:ascii="Arial" w:hAnsi="Arial" w:cs="Arial"/>
                <w:color w:val="auto"/>
                <w:sz w:val="22"/>
                <w:szCs w:val="22"/>
              </w:rPr>
              <w:t>Program Erasmus+ kao svoj integralni dio u okviru Radnog programa za 2014. godinu uključuje mrežu Eurodesk te aktivnosti</w:t>
            </w:r>
            <w:r w:rsidRPr="00E85451">
              <w:rPr>
                <w:rFonts w:ascii="Arial" w:eastAsia="Arial" w:hAnsi="Arial" w:cs="Arial"/>
                <w:color w:val="auto"/>
                <w:sz w:val="22"/>
                <w:szCs w:val="22"/>
              </w:rPr>
              <w:t xml:space="preserve"> </w:t>
            </w:r>
            <w:r w:rsidRPr="00E85451">
              <w:rPr>
                <w:rFonts w:ascii="Arial" w:hAnsi="Arial" w:cs="Arial"/>
                <w:color w:val="auto"/>
                <w:sz w:val="22"/>
                <w:szCs w:val="22"/>
              </w:rPr>
              <w:t>hrvatske Radne skupine stručnjaka za Europski kreditni sustav u strukovnom obrazovanju i osposobljavanju. Uz njih, ispunjenje ciljeva EU politika obrazovanja i osposobljavanja te programa Erasmus+ podržavaju mreže i inicijative eTwinning, Europass, Euroguidance i Europska oznaka jezika.</w:t>
            </w:r>
          </w:p>
          <w:p w:rsidR="007167B5" w:rsidRPr="00E85451" w:rsidRDefault="007167B5" w:rsidP="007A7132">
            <w:pPr>
              <w:rPr>
                <w:rFonts w:ascii="Arial" w:hAnsi="Arial" w:cs="Arial"/>
                <w:color w:val="auto"/>
                <w:sz w:val="22"/>
                <w:szCs w:val="22"/>
              </w:rPr>
            </w:pPr>
          </w:p>
        </w:tc>
      </w:tr>
      <w:tr w:rsidR="00E85451" w:rsidRPr="00E85451" w:rsidTr="00601741">
        <w:tc>
          <w:tcPr>
            <w:tcW w:w="1550" w:type="dxa"/>
            <w:tcMar>
              <w:top w:w="105" w:type="dxa"/>
              <w:left w:w="105" w:type="dxa"/>
              <w:bottom w:w="105" w:type="dxa"/>
              <w:right w:w="105" w:type="dxa"/>
            </w:tcMar>
          </w:tcPr>
          <w:p w:rsidR="007167B5" w:rsidRPr="00E85451" w:rsidRDefault="007167B5" w:rsidP="00601741">
            <w:pPr>
              <w:ind w:right="-539"/>
              <w:rPr>
                <w:rFonts w:ascii="Arial" w:eastAsia="Arial" w:hAnsi="Arial" w:cs="Arial"/>
                <w:color w:val="auto"/>
                <w:sz w:val="22"/>
                <w:szCs w:val="22"/>
              </w:rPr>
            </w:pPr>
            <w:r w:rsidRPr="00E85451">
              <w:rPr>
                <w:rFonts w:ascii="Arial" w:eastAsia="Arial" w:hAnsi="Arial" w:cs="Arial"/>
                <w:color w:val="auto"/>
                <w:sz w:val="22"/>
                <w:szCs w:val="22"/>
              </w:rPr>
              <w:lastRenderedPageBreak/>
              <w:t xml:space="preserve">Pravna </w:t>
            </w:r>
          </w:p>
          <w:p w:rsidR="007167B5" w:rsidRPr="00E85451" w:rsidRDefault="007167B5" w:rsidP="00601741">
            <w:pPr>
              <w:ind w:right="-539"/>
              <w:rPr>
                <w:rFonts w:ascii="Arial" w:eastAsia="Arial" w:hAnsi="Arial" w:cs="Arial"/>
                <w:color w:val="auto"/>
                <w:sz w:val="22"/>
                <w:szCs w:val="22"/>
              </w:rPr>
            </w:pPr>
            <w:r w:rsidRPr="00E85451">
              <w:rPr>
                <w:rFonts w:ascii="Arial" w:eastAsia="Arial" w:hAnsi="Arial" w:cs="Arial"/>
                <w:color w:val="auto"/>
                <w:sz w:val="22"/>
                <w:szCs w:val="22"/>
              </w:rPr>
              <w:t>osnova</w:t>
            </w:r>
          </w:p>
          <w:p w:rsidR="007167B5" w:rsidRPr="00E85451" w:rsidRDefault="007167B5" w:rsidP="00601741">
            <w:pPr>
              <w:ind w:right="-539"/>
              <w:rPr>
                <w:rFonts w:ascii="Arial" w:eastAsia="Arial" w:hAnsi="Arial" w:cs="Arial"/>
                <w:color w:val="auto"/>
                <w:sz w:val="22"/>
                <w:szCs w:val="22"/>
              </w:rPr>
            </w:pPr>
          </w:p>
        </w:tc>
        <w:tc>
          <w:tcPr>
            <w:tcW w:w="8489" w:type="dxa"/>
            <w:tcMar>
              <w:top w:w="105" w:type="dxa"/>
              <w:left w:w="105" w:type="dxa"/>
              <w:bottom w:w="105" w:type="dxa"/>
              <w:right w:w="105" w:type="dxa"/>
            </w:tcMar>
          </w:tcPr>
          <w:p w:rsidR="00A66891" w:rsidRPr="00E85451" w:rsidRDefault="00A66891" w:rsidP="007A7132">
            <w:pPr>
              <w:jc w:val="both"/>
              <w:rPr>
                <w:rFonts w:ascii="Arial" w:hAnsi="Arial" w:cs="Arial"/>
                <w:color w:val="auto"/>
                <w:sz w:val="22"/>
                <w:szCs w:val="22"/>
              </w:rPr>
            </w:pPr>
            <w:r w:rsidRPr="00E85451">
              <w:rPr>
                <w:rFonts w:ascii="Arial" w:hAnsi="Arial" w:cs="Arial"/>
                <w:color w:val="auto"/>
                <w:sz w:val="22"/>
                <w:szCs w:val="22"/>
              </w:rPr>
              <w:t>Uredba (EU) br. 1288/2013 Europskoga parlamenta i Vijeća od 11. prosinca 2013. o uspostavi Erasmusa+: programa Unije za obrazovanje, osposobljavanje, mlade i sport kojom se ukidaju Odluke br. 1719/2006/EZ, br. 1720/2006/EZ i br. 1298/2008/EZ.</w:t>
            </w:r>
          </w:p>
          <w:p w:rsidR="007167B5" w:rsidRPr="00E85451" w:rsidRDefault="007167B5" w:rsidP="00601741">
            <w:pPr>
              <w:ind w:right="-539"/>
              <w:rPr>
                <w:rFonts w:ascii="Arial" w:eastAsia="Arial" w:hAnsi="Arial" w:cs="Arial"/>
                <w:color w:val="auto"/>
                <w:sz w:val="22"/>
                <w:szCs w:val="22"/>
              </w:rPr>
            </w:pPr>
          </w:p>
          <w:p w:rsidR="00A66891" w:rsidRPr="00E85451" w:rsidRDefault="00A66891" w:rsidP="00601741">
            <w:pPr>
              <w:ind w:right="-539"/>
              <w:rPr>
                <w:rFonts w:ascii="Arial" w:eastAsia="Arial" w:hAnsi="Arial" w:cs="Arial"/>
                <w:color w:val="auto"/>
                <w:sz w:val="22"/>
                <w:szCs w:val="22"/>
              </w:rPr>
            </w:pPr>
          </w:p>
        </w:tc>
      </w:tr>
      <w:tr w:rsidR="00E85451" w:rsidRPr="00E85451" w:rsidTr="00601741">
        <w:tc>
          <w:tcPr>
            <w:tcW w:w="1550" w:type="dxa"/>
            <w:tcMar>
              <w:top w:w="105" w:type="dxa"/>
              <w:left w:w="105" w:type="dxa"/>
              <w:bottom w:w="105" w:type="dxa"/>
              <w:right w:w="105" w:type="dxa"/>
            </w:tcMar>
          </w:tcPr>
          <w:p w:rsidR="007167B5" w:rsidRPr="00E85451" w:rsidRDefault="007167B5" w:rsidP="00601741">
            <w:pPr>
              <w:ind w:right="-539"/>
              <w:rPr>
                <w:rFonts w:ascii="Arial" w:hAnsi="Arial" w:cs="Arial"/>
                <w:color w:val="auto"/>
                <w:sz w:val="22"/>
                <w:szCs w:val="22"/>
              </w:rPr>
            </w:pPr>
            <w:r w:rsidRPr="00E85451">
              <w:rPr>
                <w:rFonts w:ascii="Arial" w:eastAsia="Arial" w:hAnsi="Arial" w:cs="Arial"/>
                <w:color w:val="auto"/>
                <w:sz w:val="22"/>
                <w:szCs w:val="22"/>
              </w:rPr>
              <w:t xml:space="preserve">Poduzete </w:t>
            </w:r>
          </w:p>
          <w:p w:rsidR="007167B5" w:rsidRPr="00E85451" w:rsidRDefault="007167B5" w:rsidP="00601741">
            <w:pPr>
              <w:ind w:right="-539"/>
              <w:rPr>
                <w:rFonts w:ascii="Arial" w:hAnsi="Arial" w:cs="Arial"/>
                <w:color w:val="auto"/>
                <w:sz w:val="22"/>
                <w:szCs w:val="22"/>
              </w:rPr>
            </w:pPr>
            <w:r w:rsidRPr="00E85451">
              <w:rPr>
                <w:rFonts w:ascii="Arial" w:eastAsia="Arial" w:hAnsi="Arial" w:cs="Arial"/>
                <w:color w:val="auto"/>
                <w:sz w:val="22"/>
                <w:szCs w:val="22"/>
              </w:rPr>
              <w:t xml:space="preserve">aktivnosti </w:t>
            </w:r>
          </w:p>
          <w:p w:rsidR="007167B5" w:rsidRPr="00E85451" w:rsidRDefault="007167B5" w:rsidP="00601741">
            <w:pPr>
              <w:ind w:right="-539"/>
              <w:rPr>
                <w:rFonts w:ascii="Arial" w:hAnsi="Arial" w:cs="Arial"/>
                <w:color w:val="auto"/>
                <w:sz w:val="22"/>
                <w:szCs w:val="22"/>
              </w:rPr>
            </w:pPr>
            <w:r w:rsidRPr="00E85451">
              <w:rPr>
                <w:rFonts w:ascii="Arial" w:eastAsia="Arial" w:hAnsi="Arial" w:cs="Arial"/>
                <w:color w:val="auto"/>
                <w:sz w:val="22"/>
                <w:szCs w:val="22"/>
              </w:rPr>
              <w:t xml:space="preserve">tijekom </w:t>
            </w:r>
          </w:p>
          <w:p w:rsidR="007167B5" w:rsidRPr="00E85451" w:rsidRDefault="00A66891" w:rsidP="00601741">
            <w:pPr>
              <w:ind w:right="-539"/>
              <w:rPr>
                <w:rFonts w:ascii="Arial" w:hAnsi="Arial" w:cs="Arial"/>
                <w:color w:val="auto"/>
                <w:sz w:val="22"/>
                <w:szCs w:val="22"/>
              </w:rPr>
            </w:pPr>
            <w:r w:rsidRPr="00E85451">
              <w:rPr>
                <w:rFonts w:ascii="Arial" w:eastAsia="Arial" w:hAnsi="Arial" w:cs="Arial"/>
                <w:color w:val="auto"/>
                <w:sz w:val="22"/>
                <w:szCs w:val="22"/>
              </w:rPr>
              <w:t>2014</w:t>
            </w:r>
            <w:r w:rsidR="007167B5" w:rsidRPr="00E85451">
              <w:rPr>
                <w:rFonts w:ascii="Arial" w:eastAsia="Arial" w:hAnsi="Arial" w:cs="Arial"/>
                <w:color w:val="auto"/>
                <w:sz w:val="22"/>
                <w:szCs w:val="22"/>
              </w:rPr>
              <w:t>.</w:t>
            </w:r>
          </w:p>
        </w:tc>
        <w:tc>
          <w:tcPr>
            <w:tcW w:w="8489" w:type="dxa"/>
            <w:tcMar>
              <w:top w:w="105" w:type="dxa"/>
              <w:left w:w="105" w:type="dxa"/>
              <w:bottom w:w="105" w:type="dxa"/>
              <w:right w:w="105" w:type="dxa"/>
            </w:tcMar>
          </w:tcPr>
          <w:p w:rsidR="00A66891" w:rsidRPr="00E85451" w:rsidRDefault="00A66891" w:rsidP="00A66891">
            <w:pPr>
              <w:ind w:right="-8"/>
              <w:jc w:val="both"/>
              <w:rPr>
                <w:rFonts w:ascii="Arial" w:hAnsi="Arial" w:cs="Arial"/>
                <w:color w:val="auto"/>
                <w:sz w:val="22"/>
                <w:szCs w:val="22"/>
              </w:rPr>
            </w:pPr>
            <w:r w:rsidRPr="00E85451">
              <w:rPr>
                <w:rFonts w:ascii="Arial" w:hAnsi="Arial" w:cs="Arial"/>
                <w:color w:val="auto"/>
                <w:sz w:val="22"/>
                <w:szCs w:val="22"/>
              </w:rPr>
              <w:t>U prvoj godini implementacije novog programa Erasmus+ poduzelo se niz aktivnosti kako bi se osigurala njegova uspješna provedba:</w:t>
            </w:r>
          </w:p>
          <w:p w:rsidR="00A66891" w:rsidRPr="00E85451" w:rsidRDefault="00A66891" w:rsidP="00A66891">
            <w:pPr>
              <w:ind w:right="-8"/>
              <w:jc w:val="both"/>
              <w:rPr>
                <w:rFonts w:ascii="Arial" w:hAnsi="Arial" w:cs="Arial"/>
                <w:color w:val="auto"/>
                <w:sz w:val="22"/>
                <w:szCs w:val="22"/>
              </w:rPr>
            </w:pPr>
          </w:p>
          <w:p w:rsidR="00A66891" w:rsidRPr="00E85451" w:rsidRDefault="00A66891" w:rsidP="00A66891">
            <w:pPr>
              <w:ind w:right="-8"/>
              <w:jc w:val="both"/>
              <w:rPr>
                <w:rFonts w:ascii="Arial" w:hAnsi="Arial" w:cs="Arial"/>
                <w:color w:val="auto"/>
                <w:sz w:val="22"/>
                <w:szCs w:val="22"/>
              </w:rPr>
            </w:pPr>
            <w:r w:rsidRPr="00E85451">
              <w:rPr>
                <w:rFonts w:ascii="Arial" w:hAnsi="Arial" w:cs="Arial"/>
                <w:color w:val="auto"/>
                <w:sz w:val="22"/>
                <w:szCs w:val="22"/>
              </w:rPr>
              <w:t>- osiguravanje zakonskih pretpostavki i primjerenog ustroja pokretanjem postupka Izmjena i dopuna Zakona o Agenciji, prilagodbom temeljnih akata i povezanom organizacijskom prilagodbom;</w:t>
            </w:r>
          </w:p>
          <w:p w:rsidR="00A66891" w:rsidRPr="00E85451" w:rsidRDefault="00A66891" w:rsidP="00A66891">
            <w:pPr>
              <w:ind w:right="-8"/>
              <w:jc w:val="both"/>
              <w:rPr>
                <w:rFonts w:ascii="Arial" w:hAnsi="Arial" w:cs="Arial"/>
                <w:color w:val="auto"/>
                <w:sz w:val="22"/>
                <w:szCs w:val="22"/>
              </w:rPr>
            </w:pPr>
            <w:r w:rsidRPr="00E85451">
              <w:rPr>
                <w:rFonts w:ascii="Arial" w:hAnsi="Arial" w:cs="Arial"/>
                <w:color w:val="auto"/>
                <w:sz w:val="22"/>
                <w:szCs w:val="22"/>
              </w:rPr>
              <w:t>- priprema Radnog programa nacionalne Agencije za program Erasmus+ za 2015. godinu;</w:t>
            </w:r>
          </w:p>
          <w:p w:rsidR="00A66891" w:rsidRPr="00E85451" w:rsidRDefault="00A66891" w:rsidP="007A7132">
            <w:pPr>
              <w:jc w:val="both"/>
              <w:rPr>
                <w:rFonts w:ascii="Arial" w:hAnsi="Arial" w:cs="Arial"/>
                <w:color w:val="auto"/>
                <w:sz w:val="22"/>
                <w:szCs w:val="22"/>
              </w:rPr>
            </w:pPr>
            <w:r w:rsidRPr="00E85451">
              <w:rPr>
                <w:rFonts w:ascii="Arial" w:hAnsi="Arial" w:cs="Arial"/>
                <w:color w:val="auto"/>
                <w:sz w:val="22"/>
                <w:szCs w:val="22"/>
              </w:rPr>
              <w:t>- izrada završnog godišnjeg izvješća za program Erasmus+ za 2014. g. te izrada polugodišnjih izvješća prema nadležnim ministarstvima;</w:t>
            </w:r>
          </w:p>
          <w:p w:rsidR="00A66891" w:rsidRPr="00E85451" w:rsidRDefault="00A66891" w:rsidP="00A66891">
            <w:pPr>
              <w:ind w:right="-8"/>
              <w:jc w:val="both"/>
              <w:rPr>
                <w:rFonts w:ascii="Arial" w:hAnsi="Arial" w:cs="Arial"/>
                <w:color w:val="auto"/>
                <w:sz w:val="22"/>
                <w:szCs w:val="22"/>
              </w:rPr>
            </w:pPr>
            <w:r w:rsidRPr="00E85451">
              <w:rPr>
                <w:rFonts w:ascii="Arial" w:hAnsi="Arial" w:cs="Arial"/>
                <w:color w:val="auto"/>
                <w:sz w:val="22"/>
                <w:szCs w:val="22"/>
              </w:rPr>
              <w:t xml:space="preserve">- izrada novih programskih procedura; </w:t>
            </w: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 xml:space="preserve">- u organizaciji Europske komisije osposobljavanje djelatnika tijekom cijele godine za programska, financijska, upravljačko-organizacijska, </w:t>
            </w:r>
            <w:r w:rsidR="00912DCE" w:rsidRPr="00E85451">
              <w:rPr>
                <w:rFonts w:ascii="Arial" w:hAnsi="Arial" w:cs="Arial"/>
                <w:color w:val="auto"/>
                <w:sz w:val="22"/>
                <w:szCs w:val="22"/>
              </w:rPr>
              <w:t>prom</w:t>
            </w:r>
            <w:r w:rsidR="00912DCE">
              <w:rPr>
                <w:rFonts w:ascii="Arial" w:hAnsi="Arial" w:cs="Arial"/>
                <w:color w:val="auto"/>
                <w:sz w:val="22"/>
                <w:szCs w:val="22"/>
              </w:rPr>
              <w:t>otivna</w:t>
            </w:r>
            <w:r w:rsidR="00912DCE" w:rsidRPr="00E85451">
              <w:rPr>
                <w:rFonts w:ascii="Arial" w:hAnsi="Arial" w:cs="Arial"/>
                <w:color w:val="auto"/>
                <w:sz w:val="22"/>
                <w:szCs w:val="22"/>
              </w:rPr>
              <w:t xml:space="preserve"> </w:t>
            </w:r>
            <w:r w:rsidRPr="00E85451">
              <w:rPr>
                <w:rFonts w:ascii="Arial" w:hAnsi="Arial" w:cs="Arial"/>
                <w:color w:val="auto"/>
                <w:sz w:val="22"/>
                <w:szCs w:val="22"/>
              </w:rPr>
              <w:t xml:space="preserve">i IT pitanja koja </w:t>
            </w:r>
            <w:r w:rsidRPr="00E85451">
              <w:rPr>
                <w:rFonts w:ascii="Arial" w:hAnsi="Arial" w:cs="Arial"/>
                <w:color w:val="auto"/>
                <w:sz w:val="22"/>
                <w:szCs w:val="22"/>
              </w:rPr>
              <w:lastRenderedPageBreak/>
              <w:t>nameće provedba programa Erasmus+;</w:t>
            </w: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 održavanje internih edukacija za djelatnike Agencije (IT treninzi, opće procedure, programske procedure i sl.);</w:t>
            </w: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 suradnja na izradi, ažuriranju i prijevodu opsežne programske dokumentacije za program Erasmus+;</w:t>
            </w: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 uključivanje u tematske radne skupine na europskoj razini za pojedina funkcionalna i organizacijska provedbena pitanja (radna skupina Europske komisije za rezultate, diseminaciju i učinak, radne skupine nacionalnih agencija u području visokog obrazovanja: radna skupina međunarodne mobilnosti u svrhu stjecanja bodova; radna skupina stručne prakse za nedavno diplomirane studente; radna skupina za privremena izvješća itd.);</w:t>
            </w: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 priprema novih mrežnih stranica za Erasmus+;</w:t>
            </w: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 xml:space="preserve">- izrada novih vizuala, priprema novih informacijskih i </w:t>
            </w:r>
            <w:r w:rsidR="00912DCE">
              <w:rPr>
                <w:rFonts w:ascii="Arial" w:hAnsi="Arial" w:cs="Arial"/>
                <w:color w:val="auto"/>
                <w:sz w:val="22"/>
                <w:szCs w:val="22"/>
              </w:rPr>
              <w:t>promotivnih</w:t>
            </w:r>
            <w:r w:rsidR="00912DCE" w:rsidRPr="00E85451">
              <w:rPr>
                <w:rFonts w:ascii="Arial" w:hAnsi="Arial" w:cs="Arial"/>
                <w:color w:val="auto"/>
                <w:sz w:val="22"/>
                <w:szCs w:val="22"/>
              </w:rPr>
              <w:t xml:space="preserve"> </w:t>
            </w:r>
            <w:r w:rsidRPr="00E85451">
              <w:rPr>
                <w:rFonts w:ascii="Arial" w:hAnsi="Arial" w:cs="Arial"/>
                <w:color w:val="auto"/>
                <w:sz w:val="22"/>
                <w:szCs w:val="22"/>
              </w:rPr>
              <w:t>materijala;</w:t>
            </w: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 intenzivna kampanja u svrhu informiranja i savjetovanja prijašnjih ali i novih korisničkih skupina (značajno veći naglasak na međusektorskoj suradnji te suradnji sa svijetom rada)</w:t>
            </w: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 izrada Komunikacijskog plana koji između ostalog sadrži i plan promotivnih i informativnih aktivnosti za natječaj 2015. g.;</w:t>
            </w: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 odabir vanjskih ocjenjivača po područjima za novi programski ciklus i njihovo osposobljavanje;</w:t>
            </w: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 odabir akreditatora za Europsku volontersku službu (</w:t>
            </w:r>
            <w:r w:rsidRPr="00E85451">
              <w:rPr>
                <w:rFonts w:ascii="Arial" w:hAnsi="Arial" w:cs="Arial"/>
                <w:i/>
                <w:color w:val="auto"/>
                <w:sz w:val="22"/>
                <w:szCs w:val="22"/>
              </w:rPr>
              <w:t>EVS - European Voluntary Service</w:t>
            </w:r>
            <w:r w:rsidRPr="00E85451">
              <w:rPr>
                <w:rFonts w:ascii="Arial" w:hAnsi="Arial" w:cs="Arial"/>
                <w:color w:val="auto"/>
                <w:sz w:val="22"/>
                <w:szCs w:val="22"/>
              </w:rPr>
              <w:t>),</w:t>
            </w: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 xml:space="preserve">- odabir trenera i organizatora tj. logističke podrške za Aktivnosti transnacionalne suradnje (TCA – </w:t>
            </w:r>
            <w:r w:rsidRPr="00E85451">
              <w:rPr>
                <w:rFonts w:ascii="Arial" w:hAnsi="Arial" w:cs="Arial"/>
                <w:i/>
                <w:color w:val="auto"/>
                <w:sz w:val="22"/>
                <w:szCs w:val="22"/>
              </w:rPr>
              <w:t>Transnational cooperation activities</w:t>
            </w:r>
            <w:r w:rsidRPr="00E85451">
              <w:rPr>
                <w:rFonts w:ascii="Arial" w:hAnsi="Arial" w:cs="Arial"/>
                <w:color w:val="auto"/>
                <w:sz w:val="22"/>
                <w:szCs w:val="22"/>
              </w:rPr>
              <w:t>) i njihovo osposobljavanje.</w:t>
            </w:r>
          </w:p>
          <w:p w:rsidR="00A66891" w:rsidRPr="00E85451" w:rsidRDefault="00A66891" w:rsidP="007A7132">
            <w:pPr>
              <w:ind w:right="-8"/>
              <w:jc w:val="both"/>
              <w:rPr>
                <w:rFonts w:ascii="Arial" w:hAnsi="Arial" w:cs="Arial"/>
                <w:color w:val="auto"/>
                <w:sz w:val="22"/>
                <w:szCs w:val="22"/>
              </w:rPr>
            </w:pP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Agencija je raspisala Poziv na dostavu projektnih prijedloga 12. prosinca 2013. godine. U okviru spomenutog Poziva otvoreni su rokovi za KA1, KA2, KA3, Jean Monnet aktivnosti i Sportske aktivnosti popisane niže u tekstu - Natječajni rokovi 2014. g.</w:t>
            </w:r>
          </w:p>
          <w:p w:rsidR="00A66891" w:rsidRPr="00E85451" w:rsidRDefault="00A66891" w:rsidP="007A7132">
            <w:pPr>
              <w:ind w:right="-8"/>
              <w:jc w:val="both"/>
              <w:rPr>
                <w:rFonts w:ascii="Arial" w:hAnsi="Arial" w:cs="Arial"/>
                <w:color w:val="auto"/>
                <w:sz w:val="22"/>
                <w:szCs w:val="22"/>
              </w:rPr>
            </w:pP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Agencija je u 2014. g. uložila velike napore u promoviranju mogućnosti u novom programu Erasmus+ putem brojnih promotivnih, informativnih i potpornih aktivnosti nabrojanih niže u tekstu - Promotivne, informativne i potporne aktivnosti. Osim toga, djelatnici Agencije su tijekom cijele godine individualno i u sklopu radionica savjetovali prijavitelje prilikom pisanja projektnih prijedloga. Agencija je također koristila webinare kao alat za pružanje informacija i savjeta po područjima i ključnim aktivnostima. Snimljeni webinari su stavljeni na mrežnu stranicu Agencije, kao i prezentacije s informativnih dana i ostali popratni materijali za podršku prijaviteljima.</w:t>
            </w:r>
          </w:p>
          <w:p w:rsidR="00A66891" w:rsidRPr="00E85451" w:rsidRDefault="00A66891" w:rsidP="007A7132">
            <w:pPr>
              <w:ind w:right="-8"/>
              <w:jc w:val="both"/>
              <w:rPr>
                <w:rFonts w:ascii="Arial" w:hAnsi="Arial" w:cs="Arial"/>
                <w:color w:val="auto"/>
                <w:sz w:val="22"/>
                <w:szCs w:val="22"/>
              </w:rPr>
            </w:pP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Agencija je raspisala javni poziv za iskazivanje interesa za odabir nezavisnih vanjskih stručnjaka za ocjenjivanje projektnih prijedloga za sva područja obrazovanja, osposobljavanja i mladih u okviru programa Erasmus+. Obzirom da rad vanjskih stručnjaka u području akreditacija Europske volonterske službe (EVS), kao i rad trenera i organizatora tj. logističke podrške za Aktivnosti transnacionalne suradnje zahtijeva specifične kompetencije, Agencija je raspisala dodatne javne pozive za iskazivanje interesa za odabir navedenih nezavisnih stručnjaka. Nakon postupka odabira stvorena je baza vanjskih stručnjaka koji su prošli osposobljavanja od strane djelatnika Agencije. Rad vanjskih stručnjaka je praćen i evaluiran što predstavlja neophodan preduvjet za kvalitetnu evaluaciju projektnih prijedloga i u narednom razdoblju.</w:t>
            </w:r>
          </w:p>
          <w:p w:rsidR="00A66891" w:rsidRPr="00E85451" w:rsidRDefault="00A66891" w:rsidP="007A7132">
            <w:pPr>
              <w:ind w:right="-8"/>
              <w:jc w:val="both"/>
              <w:rPr>
                <w:rFonts w:ascii="Arial" w:hAnsi="Arial" w:cs="Arial"/>
                <w:color w:val="auto"/>
                <w:sz w:val="22"/>
                <w:szCs w:val="22"/>
              </w:rPr>
            </w:pP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 xml:space="preserve">U 2014. g. Agencija je također implementirala različite potporne i nadzorne aktivnosti za svoje korisnike, npr. 9 inicijalnih sastanaka po područjima i ključnim aktivnostima, </w:t>
            </w:r>
            <w:r w:rsidRPr="00E85451">
              <w:rPr>
                <w:rFonts w:ascii="Arial" w:hAnsi="Arial" w:cs="Arial"/>
                <w:color w:val="auto"/>
                <w:sz w:val="22"/>
                <w:szCs w:val="22"/>
              </w:rPr>
              <w:lastRenderedPageBreak/>
              <w:t>upitnik za korisnike KA1, izrada dokumenta Učestala pitanja i odgovori, provjere diseminacijskih aktivnosti korisnika,</w:t>
            </w:r>
            <w:r w:rsidRPr="00E85451">
              <w:rPr>
                <w:rFonts w:ascii="Arial" w:hAnsi="Arial" w:cs="Arial"/>
                <w:i/>
                <w:color w:val="auto"/>
                <w:sz w:val="22"/>
                <w:szCs w:val="22"/>
              </w:rPr>
              <w:t xml:space="preserve"> </w:t>
            </w:r>
            <w:r w:rsidRPr="00E85451">
              <w:rPr>
                <w:rFonts w:ascii="Arial" w:hAnsi="Arial" w:cs="Arial"/>
                <w:color w:val="auto"/>
                <w:sz w:val="22"/>
                <w:szCs w:val="22"/>
              </w:rPr>
              <w:t>online seminar za Online jezičnu podršku u visokom obrazovanju</w:t>
            </w:r>
            <w:r w:rsidRPr="00E85451">
              <w:rPr>
                <w:rFonts w:ascii="Arial" w:hAnsi="Arial" w:cs="Arial"/>
                <w:i/>
                <w:color w:val="auto"/>
                <w:sz w:val="22"/>
                <w:szCs w:val="22"/>
              </w:rPr>
              <w:t xml:space="preserve">, </w:t>
            </w:r>
            <w:r w:rsidRPr="00E85451">
              <w:rPr>
                <w:rFonts w:ascii="Arial" w:hAnsi="Arial" w:cs="Arial"/>
                <w:color w:val="auto"/>
                <w:sz w:val="22"/>
                <w:szCs w:val="22"/>
              </w:rPr>
              <w:t>3</w:t>
            </w:r>
            <w:r w:rsidRPr="00E85451">
              <w:rPr>
                <w:rFonts w:ascii="Arial" w:hAnsi="Arial" w:cs="Arial"/>
                <w:i/>
                <w:color w:val="auto"/>
                <w:sz w:val="22"/>
                <w:szCs w:val="22"/>
              </w:rPr>
              <w:t xml:space="preserve"> </w:t>
            </w:r>
            <w:r w:rsidRPr="00E85451">
              <w:rPr>
                <w:rFonts w:ascii="Arial" w:hAnsi="Arial" w:cs="Arial"/>
                <w:color w:val="auto"/>
                <w:sz w:val="22"/>
                <w:szCs w:val="22"/>
              </w:rPr>
              <w:t>osposobljavanja pri dolasku volontera</w:t>
            </w:r>
            <w:r w:rsidRPr="00E85451">
              <w:rPr>
                <w:rFonts w:ascii="Arial" w:hAnsi="Arial" w:cs="Arial"/>
                <w:i/>
                <w:color w:val="auto"/>
                <w:sz w:val="22"/>
                <w:szCs w:val="22"/>
              </w:rPr>
              <w:t xml:space="preserve">, </w:t>
            </w:r>
            <w:r w:rsidRPr="00E85451">
              <w:rPr>
                <w:rFonts w:ascii="Arial" w:hAnsi="Arial" w:cs="Arial"/>
                <w:color w:val="auto"/>
                <w:sz w:val="22"/>
                <w:szCs w:val="22"/>
              </w:rPr>
              <w:t xml:space="preserve">3 osposobljavanja </w:t>
            </w:r>
            <w:r w:rsidR="00E026F8">
              <w:rPr>
                <w:rFonts w:ascii="Arial" w:hAnsi="Arial" w:cs="Arial"/>
                <w:color w:val="auto"/>
                <w:sz w:val="22"/>
                <w:szCs w:val="22"/>
              </w:rPr>
              <w:t>tijekom trajanja</w:t>
            </w:r>
            <w:r w:rsidRPr="00E85451">
              <w:rPr>
                <w:rFonts w:ascii="Arial" w:hAnsi="Arial" w:cs="Arial"/>
                <w:color w:val="auto"/>
                <w:sz w:val="22"/>
                <w:szCs w:val="22"/>
              </w:rPr>
              <w:t xml:space="preserve"> Europske volonterske službe (EVS), tematsku radionicu na temu socijalne inkluzije osoba s manje mogućnosti za sve korisnike itd.</w:t>
            </w:r>
          </w:p>
          <w:p w:rsidR="00A66891" w:rsidRPr="00E85451" w:rsidRDefault="00A66891" w:rsidP="007A7132">
            <w:pPr>
              <w:ind w:right="-8"/>
              <w:jc w:val="both"/>
              <w:rPr>
                <w:rFonts w:ascii="Arial" w:hAnsi="Arial" w:cs="Arial"/>
                <w:color w:val="auto"/>
                <w:sz w:val="22"/>
                <w:szCs w:val="22"/>
              </w:rPr>
            </w:pP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U području aktivnosti vezanih uz obrazovanje i osposobljavanje uvela se nova aktivnost transnacionalne suradnje (TCA) koja podrazumijeva razvoj i održavanje međunarodnih osposobljavanja za ciljne korisničke skupine putem suradnje više nacionalnih agencija.</w:t>
            </w: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U 2014. g. Agencija je implementirala Aktivnosti transnacionalne suradnje u području mladih, dok se TCA u području strukovnog obrazovanja i osposobljavanja i u području visokog obrazovanja planiraju implementirati tijekom 2015. g. U 2014. g. Agencija je u području mladih poduprla oko 100 sudionika unutar 31 Aktivnosti transnacionalne suradnje organizirane od strane različitih nacionalnih agencija, uključujući i Agenciju za mobilnost i programe EU.</w:t>
            </w:r>
          </w:p>
          <w:p w:rsidR="00A66891" w:rsidRPr="00E85451" w:rsidRDefault="00A66891" w:rsidP="007A7132">
            <w:pPr>
              <w:ind w:right="-8"/>
              <w:jc w:val="both"/>
              <w:rPr>
                <w:rFonts w:ascii="Arial" w:hAnsi="Arial" w:cs="Arial"/>
                <w:color w:val="auto"/>
                <w:sz w:val="22"/>
                <w:szCs w:val="22"/>
              </w:rPr>
            </w:pPr>
          </w:p>
          <w:p w:rsidR="00A66891" w:rsidRPr="00E85451" w:rsidRDefault="00A66891" w:rsidP="007A7132">
            <w:pPr>
              <w:ind w:right="-8"/>
              <w:jc w:val="both"/>
              <w:rPr>
                <w:rFonts w:ascii="Arial" w:hAnsi="Arial" w:cs="Arial"/>
                <w:color w:val="auto"/>
                <w:sz w:val="22"/>
                <w:szCs w:val="22"/>
              </w:rPr>
            </w:pPr>
            <w:r w:rsidRPr="00E85451">
              <w:rPr>
                <w:rFonts w:ascii="Arial" w:hAnsi="Arial" w:cs="Arial"/>
                <w:color w:val="auto"/>
                <w:sz w:val="22"/>
                <w:szCs w:val="22"/>
              </w:rPr>
              <w:t xml:space="preserve">Nadalje, Agencija je prepoznala važnost odgovarajućeg sustava osiguranja kvalitete. Odjel za koordinaciju i osiguranje kvalitete je imao ključnu ulogu u postavljanju sustava i procedura za prikladno planiranje, implementaciju i nadzor aktivnosti programa Erasmus+ i postavljanju operativnih indikatora te godišnjih i višegodišnjih ciljeva određenih u Radnom programu za 2014. g. Praćenje provedbe programa Erasmus+ te evaluacija ishoda primarno su alati za upravljanje i donošenja odluka. Sam proces praćenja uključuje kontinuirano prikupljanje, analizu i upotrebu podataka/informacija. U 2014. g. u okviru Odjela za koordinaciju i osiguranje kvalitete programa Erasmus+ provedena je prva faza u uspostavi sveobuhvatnog sustava praćenja programa Erasmus+. Osim toga, provedeno je retrogradno prikupljanje podataka o rezultatima Programa za cjeloživotno učenje u svrhu evaluacije utjecaja Programa za cjeloživotno učenje na odgojno-obrazovne institucije i visoka učilišta u Hrvatskoj za čiju izvedbu je angažiran tim neovisnih vanjskih istraživača. Istraživački izvještaj očekuje se u rujnu 2015. g. </w:t>
            </w:r>
          </w:p>
          <w:p w:rsidR="00A66891" w:rsidRPr="00E85451" w:rsidRDefault="00A66891" w:rsidP="00601741">
            <w:pPr>
              <w:ind w:right="-539"/>
              <w:rPr>
                <w:rFonts w:ascii="Arial" w:hAnsi="Arial" w:cs="Arial"/>
                <w:color w:val="auto"/>
                <w:sz w:val="22"/>
                <w:szCs w:val="22"/>
              </w:rPr>
            </w:pPr>
          </w:p>
        </w:tc>
      </w:tr>
      <w:tr w:rsidR="00E85451" w:rsidRPr="00E85451" w:rsidTr="00601741">
        <w:tc>
          <w:tcPr>
            <w:tcW w:w="1550" w:type="dxa"/>
            <w:tcMar>
              <w:top w:w="105" w:type="dxa"/>
              <w:left w:w="105" w:type="dxa"/>
              <w:bottom w:w="105" w:type="dxa"/>
              <w:right w:w="105" w:type="dxa"/>
            </w:tcMar>
          </w:tcPr>
          <w:p w:rsidR="007167B5" w:rsidRPr="00E85451" w:rsidRDefault="007167B5" w:rsidP="00601741">
            <w:pPr>
              <w:ind w:right="-539"/>
              <w:rPr>
                <w:rFonts w:ascii="Arial" w:hAnsi="Arial" w:cs="Arial"/>
                <w:color w:val="auto"/>
                <w:sz w:val="22"/>
                <w:szCs w:val="22"/>
              </w:rPr>
            </w:pPr>
            <w:r w:rsidRPr="00E85451">
              <w:rPr>
                <w:rFonts w:ascii="Arial" w:eastAsia="Arial" w:hAnsi="Arial" w:cs="Arial"/>
                <w:color w:val="auto"/>
                <w:sz w:val="22"/>
                <w:szCs w:val="22"/>
              </w:rPr>
              <w:lastRenderedPageBreak/>
              <w:t xml:space="preserve">Raspoloživa sredstva </w:t>
            </w:r>
          </w:p>
          <w:p w:rsidR="007167B5" w:rsidRPr="00E85451" w:rsidRDefault="007167B5" w:rsidP="00601741">
            <w:pPr>
              <w:ind w:right="-539"/>
              <w:rPr>
                <w:rFonts w:ascii="Arial" w:hAnsi="Arial" w:cs="Arial"/>
                <w:color w:val="auto"/>
                <w:sz w:val="22"/>
                <w:szCs w:val="22"/>
              </w:rPr>
            </w:pPr>
            <w:r w:rsidRPr="00E85451">
              <w:rPr>
                <w:rFonts w:ascii="Arial" w:eastAsia="Arial" w:hAnsi="Arial" w:cs="Arial"/>
                <w:color w:val="auto"/>
                <w:sz w:val="22"/>
                <w:szCs w:val="22"/>
              </w:rPr>
              <w:t xml:space="preserve">za projekte u </w:t>
            </w:r>
          </w:p>
          <w:p w:rsidR="007167B5" w:rsidRPr="00E85451" w:rsidRDefault="001D67AF" w:rsidP="00601741">
            <w:pPr>
              <w:ind w:right="-539"/>
              <w:rPr>
                <w:rFonts w:ascii="Arial" w:hAnsi="Arial" w:cs="Arial"/>
                <w:color w:val="auto"/>
                <w:sz w:val="22"/>
                <w:szCs w:val="22"/>
              </w:rPr>
            </w:pPr>
            <w:r w:rsidRPr="00E85451">
              <w:rPr>
                <w:rFonts w:ascii="Arial" w:eastAsia="Arial" w:hAnsi="Arial" w:cs="Arial"/>
                <w:color w:val="auto"/>
                <w:sz w:val="22"/>
                <w:szCs w:val="22"/>
              </w:rPr>
              <w:t>2014</w:t>
            </w:r>
            <w:r w:rsidR="007167B5" w:rsidRPr="00E85451">
              <w:rPr>
                <w:rFonts w:ascii="Arial" w:eastAsia="Arial" w:hAnsi="Arial" w:cs="Arial"/>
                <w:color w:val="auto"/>
                <w:sz w:val="22"/>
                <w:szCs w:val="22"/>
              </w:rPr>
              <w:t>.</w:t>
            </w:r>
          </w:p>
        </w:tc>
        <w:tc>
          <w:tcPr>
            <w:tcW w:w="8489" w:type="dxa"/>
            <w:tcMar>
              <w:top w:w="105" w:type="dxa"/>
              <w:left w:w="105" w:type="dxa"/>
              <w:bottom w:w="105" w:type="dxa"/>
              <w:right w:w="105" w:type="dxa"/>
            </w:tcMar>
          </w:tcPr>
          <w:p w:rsidR="007167B5" w:rsidRPr="00E85451" w:rsidRDefault="004F2F38" w:rsidP="00601741">
            <w:pPr>
              <w:ind w:right="-539"/>
              <w:rPr>
                <w:rFonts w:ascii="Arial" w:hAnsi="Arial" w:cs="Arial"/>
                <w:color w:val="auto"/>
                <w:sz w:val="22"/>
                <w:szCs w:val="22"/>
              </w:rPr>
            </w:pPr>
            <w:r>
              <w:rPr>
                <w:rFonts w:ascii="Arial" w:hAnsi="Arial" w:cs="Arial"/>
                <w:color w:val="auto"/>
                <w:sz w:val="22"/>
                <w:szCs w:val="22"/>
              </w:rPr>
              <w:t>13.318.898,00 EUR</w:t>
            </w:r>
          </w:p>
        </w:tc>
      </w:tr>
      <w:tr w:rsidR="00E85451" w:rsidRPr="00E85451" w:rsidTr="00601741">
        <w:tc>
          <w:tcPr>
            <w:tcW w:w="1550" w:type="dxa"/>
            <w:tcMar>
              <w:top w:w="105" w:type="dxa"/>
              <w:left w:w="105" w:type="dxa"/>
              <w:bottom w:w="105" w:type="dxa"/>
              <w:right w:w="105" w:type="dxa"/>
            </w:tcMar>
          </w:tcPr>
          <w:p w:rsidR="007167B5" w:rsidRPr="00E85451" w:rsidRDefault="007167B5" w:rsidP="00601741">
            <w:pPr>
              <w:ind w:right="-539"/>
              <w:rPr>
                <w:rFonts w:ascii="Arial" w:hAnsi="Arial" w:cs="Arial"/>
                <w:color w:val="auto"/>
                <w:sz w:val="22"/>
                <w:szCs w:val="22"/>
              </w:rPr>
            </w:pPr>
            <w:r w:rsidRPr="00E85451">
              <w:rPr>
                <w:rFonts w:ascii="Arial" w:eastAsia="Arial" w:hAnsi="Arial" w:cs="Arial"/>
                <w:color w:val="auto"/>
                <w:sz w:val="22"/>
                <w:szCs w:val="22"/>
              </w:rPr>
              <w:t xml:space="preserve">Ugovorena </w:t>
            </w:r>
          </w:p>
          <w:p w:rsidR="007167B5" w:rsidRPr="00E85451" w:rsidRDefault="007167B5" w:rsidP="00601741">
            <w:pPr>
              <w:ind w:right="-539"/>
              <w:rPr>
                <w:rFonts w:ascii="Arial" w:hAnsi="Arial" w:cs="Arial"/>
                <w:color w:val="auto"/>
                <w:sz w:val="22"/>
                <w:szCs w:val="22"/>
              </w:rPr>
            </w:pPr>
            <w:r w:rsidRPr="00E85451">
              <w:rPr>
                <w:rFonts w:ascii="Arial" w:eastAsia="Arial" w:hAnsi="Arial" w:cs="Arial"/>
                <w:color w:val="auto"/>
                <w:sz w:val="22"/>
                <w:szCs w:val="22"/>
              </w:rPr>
              <w:t>sredstva</w:t>
            </w:r>
          </w:p>
        </w:tc>
        <w:tc>
          <w:tcPr>
            <w:tcW w:w="8489" w:type="dxa"/>
            <w:tcMar>
              <w:top w:w="105" w:type="dxa"/>
              <w:left w:w="105" w:type="dxa"/>
              <w:bottom w:w="105" w:type="dxa"/>
              <w:right w:w="105" w:type="dxa"/>
            </w:tcMar>
          </w:tcPr>
          <w:p w:rsidR="007167B5" w:rsidRPr="00E85451" w:rsidRDefault="004F2F38" w:rsidP="00601741">
            <w:pPr>
              <w:ind w:right="-539"/>
              <w:rPr>
                <w:rFonts w:ascii="Arial" w:hAnsi="Arial" w:cs="Arial"/>
                <w:color w:val="auto"/>
                <w:sz w:val="22"/>
                <w:szCs w:val="22"/>
              </w:rPr>
            </w:pPr>
            <w:r>
              <w:rPr>
                <w:rFonts w:ascii="Arial" w:hAnsi="Arial" w:cs="Arial"/>
                <w:color w:val="auto"/>
                <w:sz w:val="22"/>
                <w:szCs w:val="22"/>
              </w:rPr>
              <w:t>13.110.664,50 EUR</w:t>
            </w:r>
          </w:p>
        </w:tc>
      </w:tr>
      <w:tr w:rsidR="00E85451" w:rsidRPr="00E85451" w:rsidTr="00601741">
        <w:tc>
          <w:tcPr>
            <w:tcW w:w="1550" w:type="dxa"/>
            <w:tcMar>
              <w:top w:w="105" w:type="dxa"/>
              <w:left w:w="105" w:type="dxa"/>
              <w:bottom w:w="105" w:type="dxa"/>
              <w:right w:w="105" w:type="dxa"/>
            </w:tcMar>
          </w:tcPr>
          <w:p w:rsidR="007167B5" w:rsidRPr="00E85451" w:rsidRDefault="007167B5" w:rsidP="00601741">
            <w:pPr>
              <w:ind w:right="-539"/>
              <w:rPr>
                <w:rFonts w:ascii="Arial" w:hAnsi="Arial" w:cs="Arial"/>
                <w:color w:val="auto"/>
                <w:sz w:val="22"/>
                <w:szCs w:val="22"/>
              </w:rPr>
            </w:pPr>
            <w:r w:rsidRPr="00E85451">
              <w:rPr>
                <w:rFonts w:ascii="Arial" w:eastAsia="Arial" w:hAnsi="Arial" w:cs="Arial"/>
                <w:color w:val="auto"/>
                <w:sz w:val="22"/>
                <w:szCs w:val="22"/>
              </w:rPr>
              <w:t>Ukupna iskorištenost sredstava u postocima</w:t>
            </w:r>
          </w:p>
        </w:tc>
        <w:tc>
          <w:tcPr>
            <w:tcW w:w="8489" w:type="dxa"/>
            <w:tcMar>
              <w:top w:w="105" w:type="dxa"/>
              <w:left w:w="105" w:type="dxa"/>
              <w:bottom w:w="105" w:type="dxa"/>
              <w:right w:w="105" w:type="dxa"/>
            </w:tcMar>
          </w:tcPr>
          <w:p w:rsidR="007167B5" w:rsidRPr="00E85451" w:rsidRDefault="004F2F38" w:rsidP="00601741">
            <w:pPr>
              <w:ind w:right="-539"/>
              <w:rPr>
                <w:rFonts w:ascii="Arial" w:hAnsi="Arial" w:cs="Arial"/>
                <w:color w:val="auto"/>
                <w:sz w:val="22"/>
                <w:szCs w:val="22"/>
              </w:rPr>
            </w:pPr>
            <w:bookmarkStart w:id="8" w:name="h.3dy6vkm" w:colFirst="0" w:colLast="0"/>
            <w:bookmarkEnd w:id="8"/>
            <w:r>
              <w:rPr>
                <w:rFonts w:ascii="Arial" w:hAnsi="Arial" w:cs="Arial"/>
                <w:color w:val="auto"/>
                <w:sz w:val="22"/>
                <w:szCs w:val="22"/>
              </w:rPr>
              <w:t>98%</w:t>
            </w:r>
          </w:p>
        </w:tc>
      </w:tr>
      <w:tr w:rsidR="00E85451" w:rsidRPr="00E85451" w:rsidTr="00601741">
        <w:tc>
          <w:tcPr>
            <w:tcW w:w="1550" w:type="dxa"/>
            <w:tcMar>
              <w:top w:w="105" w:type="dxa"/>
              <w:left w:w="105" w:type="dxa"/>
              <w:bottom w:w="105" w:type="dxa"/>
              <w:right w:w="105" w:type="dxa"/>
            </w:tcMar>
          </w:tcPr>
          <w:p w:rsidR="007167B5" w:rsidRPr="00E85451" w:rsidRDefault="007167B5" w:rsidP="00601741">
            <w:pPr>
              <w:ind w:right="-539"/>
              <w:rPr>
                <w:rFonts w:ascii="Arial" w:hAnsi="Arial" w:cs="Arial"/>
                <w:color w:val="auto"/>
                <w:sz w:val="22"/>
                <w:szCs w:val="22"/>
              </w:rPr>
            </w:pPr>
            <w:r w:rsidRPr="00E85451">
              <w:rPr>
                <w:rFonts w:ascii="Arial" w:eastAsia="Arial" w:hAnsi="Arial" w:cs="Arial"/>
                <w:color w:val="auto"/>
                <w:sz w:val="22"/>
                <w:szCs w:val="22"/>
              </w:rPr>
              <w:t xml:space="preserve">Broj raspisanih </w:t>
            </w:r>
          </w:p>
          <w:p w:rsidR="007167B5" w:rsidRPr="00E85451" w:rsidRDefault="007167B5" w:rsidP="00601741">
            <w:pPr>
              <w:ind w:right="-539"/>
              <w:rPr>
                <w:rFonts w:ascii="Arial" w:eastAsia="Arial" w:hAnsi="Arial" w:cs="Arial"/>
                <w:color w:val="auto"/>
                <w:sz w:val="22"/>
                <w:szCs w:val="22"/>
              </w:rPr>
            </w:pPr>
            <w:r w:rsidRPr="00E85451">
              <w:rPr>
                <w:rFonts w:ascii="Arial" w:eastAsia="Arial" w:hAnsi="Arial" w:cs="Arial"/>
                <w:color w:val="auto"/>
                <w:sz w:val="22"/>
                <w:szCs w:val="22"/>
              </w:rPr>
              <w:t xml:space="preserve">natječaja i </w:t>
            </w:r>
          </w:p>
          <w:p w:rsidR="007167B5" w:rsidRPr="00E85451" w:rsidRDefault="007167B5" w:rsidP="00601741">
            <w:pPr>
              <w:ind w:right="-539"/>
              <w:rPr>
                <w:rFonts w:ascii="Arial" w:eastAsia="Arial" w:hAnsi="Arial" w:cs="Arial"/>
                <w:color w:val="auto"/>
                <w:sz w:val="22"/>
                <w:szCs w:val="22"/>
              </w:rPr>
            </w:pPr>
            <w:r w:rsidRPr="00E85451">
              <w:rPr>
                <w:rFonts w:ascii="Arial" w:eastAsia="Arial" w:hAnsi="Arial" w:cs="Arial"/>
                <w:color w:val="auto"/>
                <w:sz w:val="22"/>
                <w:szCs w:val="22"/>
              </w:rPr>
              <w:t xml:space="preserve">rokovi za </w:t>
            </w:r>
          </w:p>
          <w:p w:rsidR="007167B5" w:rsidRPr="00E85451" w:rsidRDefault="007167B5" w:rsidP="00601741">
            <w:pPr>
              <w:ind w:right="-539"/>
              <w:rPr>
                <w:rFonts w:ascii="Arial" w:hAnsi="Arial" w:cs="Arial"/>
                <w:color w:val="auto"/>
                <w:sz w:val="22"/>
                <w:szCs w:val="22"/>
              </w:rPr>
            </w:pPr>
            <w:r w:rsidRPr="00E85451">
              <w:rPr>
                <w:rFonts w:ascii="Arial" w:eastAsia="Arial" w:hAnsi="Arial" w:cs="Arial"/>
                <w:color w:val="auto"/>
                <w:sz w:val="22"/>
                <w:szCs w:val="22"/>
              </w:rPr>
              <w:t>prijavu</w:t>
            </w:r>
          </w:p>
        </w:tc>
        <w:tc>
          <w:tcPr>
            <w:tcW w:w="8489" w:type="dxa"/>
            <w:tcMar>
              <w:top w:w="105" w:type="dxa"/>
              <w:left w:w="105" w:type="dxa"/>
              <w:bottom w:w="105" w:type="dxa"/>
              <w:right w:w="105" w:type="dxa"/>
            </w:tcMar>
          </w:tcPr>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Ključna aktivnost 1</w:t>
            </w: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Mobilnost pojedinaca u području obrazovanja, osposobljavanja i mladih - 24. ožujka 2014.</w:t>
            </w: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Mobilnost pojedinaca samo u području mladih - 30. travnja i 1. listopada 2014.</w:t>
            </w: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Združeni diplomski studiji - 27. ožujka 2014.</w:t>
            </w: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Velika događanja u okviru Europske volonterske službe - 3. travnja 2014.</w:t>
            </w: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Povelja za mobilnost u strukovnom obrazovanju i osposobljavanju – 22. rujna 2014.</w:t>
            </w:r>
          </w:p>
          <w:p w:rsidR="001D67AF" w:rsidRPr="00E85451" w:rsidRDefault="001D67AF" w:rsidP="001D67AF">
            <w:pPr>
              <w:ind w:right="-8"/>
              <w:jc w:val="both"/>
              <w:rPr>
                <w:rFonts w:ascii="Arial" w:hAnsi="Arial" w:cs="Arial"/>
                <w:color w:val="auto"/>
                <w:sz w:val="22"/>
                <w:szCs w:val="22"/>
              </w:rPr>
            </w:pP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lastRenderedPageBreak/>
              <w:t>Ključna aktivnost 2</w:t>
            </w: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Strateška partnerstva u području obrazovanja, osposobljavanja i mladih - 30. travnja 2014.</w:t>
            </w: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Strateška partnerstva samo u području mladih - 1. listopada 2014.</w:t>
            </w: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Udruživanje znanja/sektorskih vještina – 3. travnja 2014.</w:t>
            </w: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Jačanje kapaciteta u području mladih - 3. travnja 2014. i 2. rujna 2014.</w:t>
            </w:r>
          </w:p>
          <w:p w:rsidR="001D67AF" w:rsidRPr="00E85451" w:rsidRDefault="001D67AF" w:rsidP="001D67AF">
            <w:pPr>
              <w:ind w:right="-8"/>
              <w:jc w:val="both"/>
              <w:rPr>
                <w:rFonts w:ascii="Arial" w:hAnsi="Arial" w:cs="Arial"/>
                <w:color w:val="auto"/>
                <w:sz w:val="22"/>
                <w:szCs w:val="22"/>
              </w:rPr>
            </w:pP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Ključna aktivnost 3</w:t>
            </w: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Sastanci mladih i donositelja odluka u području mladih – 30. travnja 2014. i 1. listopada 2014.</w:t>
            </w:r>
          </w:p>
          <w:p w:rsidR="001D67AF" w:rsidRPr="00E85451" w:rsidRDefault="001D67AF" w:rsidP="001D67AF">
            <w:pPr>
              <w:ind w:right="-8"/>
              <w:jc w:val="both"/>
              <w:rPr>
                <w:rFonts w:ascii="Arial" w:hAnsi="Arial" w:cs="Arial"/>
                <w:color w:val="auto"/>
                <w:sz w:val="22"/>
                <w:szCs w:val="22"/>
              </w:rPr>
            </w:pP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 xml:space="preserve">Aktivnosti Jean Monnet </w:t>
            </w: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Katedre, moduli, centri izvrsnosti, potpora ustanovama i udruženjima, mreže, projekti - 26. ožujka 2014.</w:t>
            </w:r>
          </w:p>
          <w:p w:rsidR="001D67AF" w:rsidRPr="00E85451" w:rsidRDefault="001D67AF" w:rsidP="001D67AF">
            <w:pPr>
              <w:ind w:right="-8"/>
              <w:jc w:val="both"/>
              <w:rPr>
                <w:rFonts w:ascii="Arial" w:hAnsi="Arial" w:cs="Arial"/>
                <w:color w:val="auto"/>
                <w:sz w:val="22"/>
                <w:szCs w:val="22"/>
              </w:rPr>
            </w:pP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Sportske aktivnosti</w:t>
            </w: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Zajednička partnerstva u području sporta - 15. svibnja 2014.</w:t>
            </w: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Neprofitni europski sportski događaji - 14. ožujka i 26. lipnja 2014.</w:t>
            </w:r>
          </w:p>
          <w:p w:rsidR="001D67AF" w:rsidRPr="00E85451" w:rsidRDefault="001D67AF" w:rsidP="001D67AF">
            <w:pPr>
              <w:ind w:right="-8"/>
              <w:jc w:val="both"/>
              <w:rPr>
                <w:rFonts w:ascii="Arial" w:hAnsi="Arial" w:cs="Arial"/>
                <w:color w:val="auto"/>
                <w:sz w:val="22"/>
                <w:szCs w:val="22"/>
              </w:rPr>
            </w:pPr>
          </w:p>
          <w:p w:rsidR="001D67AF" w:rsidRPr="00E85451" w:rsidRDefault="001D67AF" w:rsidP="001D67AF">
            <w:pPr>
              <w:ind w:right="-8"/>
              <w:jc w:val="both"/>
              <w:rPr>
                <w:rFonts w:ascii="Arial" w:hAnsi="Arial" w:cs="Arial"/>
                <w:color w:val="auto"/>
                <w:sz w:val="22"/>
                <w:szCs w:val="22"/>
              </w:rPr>
            </w:pPr>
            <w:r w:rsidRPr="00E85451">
              <w:rPr>
                <w:rFonts w:ascii="Arial" w:hAnsi="Arial" w:cs="Arial"/>
                <w:color w:val="auto"/>
                <w:sz w:val="22"/>
                <w:szCs w:val="22"/>
              </w:rPr>
              <w:t>Europska oznaka jezika (</w:t>
            </w:r>
            <w:r w:rsidRPr="00E85451">
              <w:rPr>
                <w:rFonts w:ascii="Arial" w:hAnsi="Arial" w:cs="Arial"/>
                <w:i/>
                <w:color w:val="auto"/>
                <w:sz w:val="22"/>
                <w:szCs w:val="22"/>
              </w:rPr>
              <w:t>European Language Label</w:t>
            </w:r>
            <w:r w:rsidRPr="00E85451">
              <w:rPr>
                <w:rFonts w:ascii="Arial" w:hAnsi="Arial" w:cs="Arial"/>
                <w:color w:val="auto"/>
                <w:sz w:val="22"/>
                <w:szCs w:val="22"/>
              </w:rPr>
              <w:t xml:space="preserve"> – ELL) - 07.07.2014.</w:t>
            </w:r>
          </w:p>
          <w:p w:rsidR="007167B5" w:rsidRPr="00E85451" w:rsidRDefault="007167B5" w:rsidP="00601741">
            <w:pPr>
              <w:ind w:right="-539"/>
              <w:rPr>
                <w:rFonts w:ascii="Arial" w:hAnsi="Arial" w:cs="Arial"/>
                <w:color w:val="auto"/>
                <w:sz w:val="22"/>
                <w:szCs w:val="22"/>
              </w:rPr>
            </w:pPr>
          </w:p>
        </w:tc>
      </w:tr>
      <w:tr w:rsidR="00E85451" w:rsidRPr="00E85451" w:rsidTr="00601741">
        <w:tc>
          <w:tcPr>
            <w:tcW w:w="1550" w:type="dxa"/>
            <w:tcMar>
              <w:top w:w="105" w:type="dxa"/>
              <w:left w:w="105" w:type="dxa"/>
              <w:bottom w:w="105" w:type="dxa"/>
              <w:right w:w="105" w:type="dxa"/>
            </w:tcMar>
          </w:tcPr>
          <w:p w:rsidR="007167B5" w:rsidRPr="00E85451" w:rsidRDefault="007167B5" w:rsidP="00601741">
            <w:pPr>
              <w:ind w:right="-539"/>
              <w:rPr>
                <w:rFonts w:ascii="Arial" w:eastAsia="Arial" w:hAnsi="Arial" w:cs="Arial"/>
                <w:color w:val="auto"/>
                <w:sz w:val="22"/>
                <w:szCs w:val="22"/>
              </w:rPr>
            </w:pPr>
            <w:r w:rsidRPr="00E85451">
              <w:rPr>
                <w:rFonts w:ascii="Arial" w:eastAsia="Arial" w:hAnsi="Arial" w:cs="Arial"/>
                <w:color w:val="auto"/>
                <w:sz w:val="22"/>
                <w:szCs w:val="22"/>
              </w:rPr>
              <w:lastRenderedPageBreak/>
              <w:t xml:space="preserve">Broj </w:t>
            </w:r>
          </w:p>
          <w:p w:rsidR="007167B5" w:rsidRPr="00E85451" w:rsidRDefault="007167B5" w:rsidP="00601741">
            <w:pPr>
              <w:ind w:right="-539"/>
              <w:rPr>
                <w:rFonts w:ascii="Arial" w:eastAsia="Arial" w:hAnsi="Arial" w:cs="Arial"/>
                <w:color w:val="auto"/>
                <w:sz w:val="22"/>
                <w:szCs w:val="22"/>
              </w:rPr>
            </w:pPr>
            <w:r w:rsidRPr="00E85451">
              <w:rPr>
                <w:rFonts w:ascii="Arial" w:eastAsia="Arial" w:hAnsi="Arial" w:cs="Arial"/>
                <w:color w:val="auto"/>
                <w:sz w:val="22"/>
                <w:szCs w:val="22"/>
              </w:rPr>
              <w:t>zaprimljenih prijava</w:t>
            </w:r>
            <w:r w:rsidR="001D67AF" w:rsidRPr="00E85451">
              <w:rPr>
                <w:rFonts w:ascii="Arial" w:eastAsia="Arial" w:hAnsi="Arial" w:cs="Arial"/>
                <w:color w:val="auto"/>
                <w:sz w:val="22"/>
                <w:szCs w:val="22"/>
              </w:rPr>
              <w:t xml:space="preserve"> </w:t>
            </w:r>
          </w:p>
          <w:p w:rsidR="001D67AF" w:rsidRPr="00E85451" w:rsidRDefault="001D67AF" w:rsidP="00601741">
            <w:pPr>
              <w:ind w:right="-539"/>
              <w:rPr>
                <w:rFonts w:ascii="Arial" w:hAnsi="Arial" w:cs="Arial"/>
                <w:color w:val="auto"/>
                <w:sz w:val="22"/>
                <w:szCs w:val="22"/>
              </w:rPr>
            </w:pPr>
            <w:r w:rsidRPr="00E85451">
              <w:rPr>
                <w:rFonts w:ascii="Arial" w:eastAsia="Arial" w:hAnsi="Arial" w:cs="Arial"/>
                <w:color w:val="auto"/>
                <w:sz w:val="22"/>
                <w:szCs w:val="22"/>
              </w:rPr>
              <w:t>(sveukupno)</w:t>
            </w:r>
          </w:p>
        </w:tc>
        <w:tc>
          <w:tcPr>
            <w:tcW w:w="8489" w:type="dxa"/>
            <w:tcMar>
              <w:top w:w="105" w:type="dxa"/>
              <w:left w:w="105" w:type="dxa"/>
              <w:bottom w:w="105" w:type="dxa"/>
              <w:right w:w="105" w:type="dxa"/>
            </w:tcMar>
          </w:tcPr>
          <w:p w:rsidR="007167B5" w:rsidRPr="00E85451" w:rsidRDefault="007E5B1F" w:rsidP="00601741">
            <w:pPr>
              <w:ind w:right="-539"/>
              <w:rPr>
                <w:rFonts w:ascii="Arial" w:hAnsi="Arial" w:cs="Arial"/>
                <w:color w:val="auto"/>
                <w:sz w:val="22"/>
                <w:szCs w:val="22"/>
              </w:rPr>
            </w:pPr>
            <w:r>
              <w:rPr>
                <w:rFonts w:ascii="Arial" w:hAnsi="Arial" w:cs="Arial"/>
                <w:color w:val="auto"/>
                <w:sz w:val="22"/>
                <w:szCs w:val="22"/>
              </w:rPr>
              <w:t>655</w:t>
            </w:r>
          </w:p>
        </w:tc>
      </w:tr>
      <w:tr w:rsidR="00E85451" w:rsidRPr="00E85451" w:rsidTr="00601741">
        <w:tc>
          <w:tcPr>
            <w:tcW w:w="1550" w:type="dxa"/>
            <w:tcMar>
              <w:top w:w="105" w:type="dxa"/>
              <w:left w:w="105" w:type="dxa"/>
              <w:bottom w:w="105" w:type="dxa"/>
              <w:right w:w="105" w:type="dxa"/>
            </w:tcMar>
          </w:tcPr>
          <w:p w:rsidR="007167B5" w:rsidRPr="00E85451" w:rsidRDefault="007167B5" w:rsidP="00601741">
            <w:pPr>
              <w:ind w:right="-539"/>
              <w:rPr>
                <w:rFonts w:ascii="Arial" w:eastAsia="Arial" w:hAnsi="Arial" w:cs="Arial"/>
                <w:color w:val="auto"/>
                <w:sz w:val="22"/>
                <w:szCs w:val="22"/>
              </w:rPr>
            </w:pPr>
            <w:r w:rsidRPr="00E85451">
              <w:rPr>
                <w:rFonts w:ascii="Arial" w:eastAsia="Arial" w:hAnsi="Arial" w:cs="Arial"/>
                <w:color w:val="auto"/>
                <w:sz w:val="22"/>
                <w:szCs w:val="22"/>
              </w:rPr>
              <w:t xml:space="preserve">Broj odobrenih prijava </w:t>
            </w:r>
          </w:p>
          <w:p w:rsidR="001D67AF" w:rsidRPr="00E85451" w:rsidRDefault="007167B5" w:rsidP="001D67AF">
            <w:pPr>
              <w:ind w:right="-539"/>
              <w:rPr>
                <w:rFonts w:ascii="Arial" w:hAnsi="Arial" w:cs="Arial"/>
                <w:color w:val="auto"/>
                <w:sz w:val="22"/>
                <w:szCs w:val="22"/>
              </w:rPr>
            </w:pPr>
            <w:r w:rsidRPr="00E85451">
              <w:rPr>
                <w:rFonts w:ascii="Arial" w:eastAsia="Arial" w:hAnsi="Arial" w:cs="Arial"/>
                <w:color w:val="auto"/>
                <w:sz w:val="22"/>
                <w:szCs w:val="22"/>
              </w:rPr>
              <w:t>(sveukupno</w:t>
            </w:r>
            <w:r w:rsidR="001D67AF" w:rsidRPr="00E85451">
              <w:rPr>
                <w:rFonts w:ascii="Arial" w:eastAsia="Arial" w:hAnsi="Arial" w:cs="Arial"/>
                <w:color w:val="auto"/>
                <w:sz w:val="22"/>
                <w:szCs w:val="22"/>
              </w:rPr>
              <w:t>)</w:t>
            </w:r>
            <w:r w:rsidRPr="00E85451">
              <w:rPr>
                <w:rFonts w:ascii="Arial" w:eastAsia="Arial" w:hAnsi="Arial" w:cs="Arial"/>
                <w:color w:val="auto"/>
                <w:sz w:val="22"/>
                <w:szCs w:val="22"/>
              </w:rPr>
              <w:t xml:space="preserve"> </w:t>
            </w:r>
          </w:p>
          <w:p w:rsidR="007167B5" w:rsidRPr="00E85451" w:rsidRDefault="007167B5" w:rsidP="00601741">
            <w:pPr>
              <w:ind w:right="-539"/>
              <w:rPr>
                <w:rFonts w:ascii="Arial" w:hAnsi="Arial" w:cs="Arial"/>
                <w:color w:val="auto"/>
                <w:sz w:val="22"/>
                <w:szCs w:val="22"/>
              </w:rPr>
            </w:pPr>
          </w:p>
        </w:tc>
        <w:tc>
          <w:tcPr>
            <w:tcW w:w="8489" w:type="dxa"/>
            <w:tcMar>
              <w:top w:w="105" w:type="dxa"/>
              <w:left w:w="105" w:type="dxa"/>
              <w:bottom w:w="105" w:type="dxa"/>
              <w:right w:w="105" w:type="dxa"/>
            </w:tcMar>
          </w:tcPr>
          <w:p w:rsidR="007167B5" w:rsidRPr="00E85451" w:rsidRDefault="007E5B1F" w:rsidP="00601741">
            <w:pPr>
              <w:ind w:right="-539"/>
              <w:rPr>
                <w:rFonts w:ascii="Arial" w:hAnsi="Arial" w:cs="Arial"/>
                <w:color w:val="auto"/>
                <w:sz w:val="22"/>
                <w:szCs w:val="22"/>
              </w:rPr>
            </w:pPr>
            <w:r>
              <w:rPr>
                <w:rFonts w:ascii="Arial" w:hAnsi="Arial" w:cs="Arial"/>
                <w:color w:val="auto"/>
                <w:sz w:val="22"/>
                <w:szCs w:val="22"/>
              </w:rPr>
              <w:t>251</w:t>
            </w:r>
          </w:p>
        </w:tc>
      </w:tr>
      <w:tr w:rsidR="00E85451" w:rsidRPr="00E85451" w:rsidTr="00601741">
        <w:tc>
          <w:tcPr>
            <w:tcW w:w="1550" w:type="dxa"/>
            <w:tcMar>
              <w:top w:w="105" w:type="dxa"/>
              <w:left w:w="105" w:type="dxa"/>
              <w:bottom w:w="105" w:type="dxa"/>
              <w:right w:w="105" w:type="dxa"/>
            </w:tcMar>
          </w:tcPr>
          <w:p w:rsidR="001D67AF" w:rsidRPr="00E85451" w:rsidRDefault="007167B5" w:rsidP="00601741">
            <w:pPr>
              <w:ind w:right="-539"/>
              <w:rPr>
                <w:rFonts w:ascii="Arial" w:eastAsia="Arial" w:hAnsi="Arial" w:cs="Arial"/>
                <w:color w:val="auto"/>
                <w:sz w:val="22"/>
                <w:szCs w:val="22"/>
              </w:rPr>
            </w:pPr>
            <w:r w:rsidRPr="00E85451">
              <w:rPr>
                <w:rFonts w:ascii="Arial" w:eastAsia="Arial" w:hAnsi="Arial" w:cs="Arial"/>
                <w:color w:val="auto"/>
                <w:sz w:val="22"/>
                <w:szCs w:val="22"/>
              </w:rPr>
              <w:t>Ukupan broj pojedinačnih korisnika</w:t>
            </w:r>
            <w:r w:rsidR="001D67AF" w:rsidRPr="00E85451">
              <w:rPr>
                <w:rFonts w:ascii="Arial" w:eastAsia="Arial" w:hAnsi="Arial" w:cs="Arial"/>
                <w:color w:val="auto"/>
                <w:sz w:val="22"/>
                <w:szCs w:val="22"/>
              </w:rPr>
              <w:t xml:space="preserve"> </w:t>
            </w:r>
          </w:p>
          <w:p w:rsidR="007167B5" w:rsidRPr="00E85451" w:rsidRDefault="001D67AF" w:rsidP="00601741">
            <w:pPr>
              <w:ind w:right="-539"/>
              <w:rPr>
                <w:rFonts w:ascii="Arial" w:hAnsi="Arial" w:cs="Arial"/>
                <w:color w:val="auto"/>
                <w:sz w:val="22"/>
                <w:szCs w:val="22"/>
              </w:rPr>
            </w:pPr>
            <w:r w:rsidRPr="00E85451">
              <w:rPr>
                <w:rFonts w:ascii="Arial" w:eastAsia="Arial" w:hAnsi="Arial" w:cs="Arial"/>
                <w:color w:val="auto"/>
                <w:sz w:val="22"/>
                <w:szCs w:val="22"/>
              </w:rPr>
              <w:t>(okvirno)</w:t>
            </w:r>
          </w:p>
        </w:tc>
        <w:tc>
          <w:tcPr>
            <w:tcW w:w="8489" w:type="dxa"/>
            <w:tcMar>
              <w:top w:w="105" w:type="dxa"/>
              <w:left w:w="105" w:type="dxa"/>
              <w:bottom w:w="105" w:type="dxa"/>
              <w:right w:w="105" w:type="dxa"/>
            </w:tcMar>
          </w:tcPr>
          <w:p w:rsidR="007167B5" w:rsidRPr="00E85451" w:rsidRDefault="007E5B1F" w:rsidP="001D67AF">
            <w:pPr>
              <w:ind w:right="-539"/>
              <w:rPr>
                <w:rFonts w:ascii="Arial" w:hAnsi="Arial" w:cs="Arial"/>
                <w:color w:val="auto"/>
                <w:sz w:val="22"/>
                <w:szCs w:val="22"/>
              </w:rPr>
            </w:pPr>
            <w:r>
              <w:rPr>
                <w:rFonts w:ascii="Arial" w:hAnsi="Arial" w:cs="Arial"/>
                <w:color w:val="auto"/>
                <w:sz w:val="22"/>
                <w:szCs w:val="22"/>
              </w:rPr>
              <w:t>13.987</w:t>
            </w:r>
          </w:p>
        </w:tc>
      </w:tr>
      <w:tr w:rsidR="00E85451" w:rsidRPr="00E85451" w:rsidTr="00601741">
        <w:tc>
          <w:tcPr>
            <w:tcW w:w="1550" w:type="dxa"/>
            <w:tcMar>
              <w:top w:w="105" w:type="dxa"/>
              <w:left w:w="105" w:type="dxa"/>
              <w:bottom w:w="105" w:type="dxa"/>
              <w:right w:w="105" w:type="dxa"/>
            </w:tcMar>
          </w:tcPr>
          <w:p w:rsidR="007167B5" w:rsidRPr="00E85451" w:rsidRDefault="007167B5" w:rsidP="00601741">
            <w:pPr>
              <w:ind w:right="-539"/>
              <w:rPr>
                <w:rFonts w:ascii="Arial" w:hAnsi="Arial" w:cs="Arial"/>
                <w:color w:val="auto"/>
                <w:sz w:val="22"/>
                <w:szCs w:val="22"/>
              </w:rPr>
            </w:pPr>
            <w:r w:rsidRPr="00E85451">
              <w:rPr>
                <w:rFonts w:ascii="Arial" w:eastAsia="Arial" w:hAnsi="Arial" w:cs="Arial"/>
                <w:color w:val="auto"/>
                <w:sz w:val="22"/>
                <w:szCs w:val="22"/>
              </w:rPr>
              <w:t xml:space="preserve">Promotivne, informativne i potporne </w:t>
            </w:r>
          </w:p>
          <w:p w:rsidR="007167B5" w:rsidRPr="00E85451" w:rsidRDefault="007167B5" w:rsidP="00601741">
            <w:pPr>
              <w:ind w:right="-539"/>
              <w:rPr>
                <w:rFonts w:ascii="Arial" w:hAnsi="Arial" w:cs="Arial"/>
                <w:color w:val="auto"/>
                <w:sz w:val="22"/>
                <w:szCs w:val="22"/>
              </w:rPr>
            </w:pPr>
            <w:r w:rsidRPr="00E85451">
              <w:rPr>
                <w:rFonts w:ascii="Arial" w:eastAsia="Arial" w:hAnsi="Arial" w:cs="Arial"/>
                <w:color w:val="auto"/>
                <w:sz w:val="22"/>
                <w:szCs w:val="22"/>
              </w:rPr>
              <w:t xml:space="preserve">aktivnosti </w:t>
            </w:r>
          </w:p>
          <w:p w:rsidR="007167B5" w:rsidRPr="00E85451" w:rsidRDefault="007167B5" w:rsidP="00601741">
            <w:pPr>
              <w:ind w:right="-539"/>
              <w:rPr>
                <w:rFonts w:ascii="Arial" w:hAnsi="Arial" w:cs="Arial"/>
                <w:color w:val="auto"/>
                <w:sz w:val="22"/>
                <w:szCs w:val="22"/>
              </w:rPr>
            </w:pPr>
          </w:p>
        </w:tc>
        <w:tc>
          <w:tcPr>
            <w:tcW w:w="8489" w:type="dxa"/>
            <w:tcMar>
              <w:top w:w="105" w:type="dxa"/>
              <w:left w:w="105" w:type="dxa"/>
              <w:bottom w:w="105" w:type="dxa"/>
              <w:right w:w="105" w:type="dxa"/>
            </w:tcMar>
          </w:tcPr>
          <w:p w:rsidR="00D375B1" w:rsidRPr="00E85451" w:rsidRDefault="00D375B1" w:rsidP="00D375B1">
            <w:pPr>
              <w:jc w:val="both"/>
              <w:rPr>
                <w:rFonts w:ascii="Arial" w:hAnsi="Arial" w:cs="Arial"/>
                <w:color w:val="auto"/>
                <w:sz w:val="22"/>
                <w:szCs w:val="22"/>
              </w:rPr>
            </w:pPr>
            <w:r w:rsidRPr="00E85451">
              <w:rPr>
                <w:rFonts w:ascii="Arial" w:hAnsi="Arial" w:cs="Arial"/>
                <w:color w:val="auto"/>
                <w:sz w:val="22"/>
                <w:szCs w:val="22"/>
              </w:rPr>
              <w:t xml:space="preserve">Tijekom 2014. godine Agencija za mobilnost i programe Europske unije organizirala je dvije informativne kampanje – početkom i krajem godine. </w:t>
            </w:r>
          </w:p>
          <w:p w:rsidR="00D375B1" w:rsidRPr="00E85451" w:rsidRDefault="00D375B1" w:rsidP="00D375B1">
            <w:pPr>
              <w:jc w:val="both"/>
              <w:rPr>
                <w:rFonts w:ascii="Arial" w:hAnsi="Arial" w:cs="Arial"/>
                <w:color w:val="auto"/>
                <w:sz w:val="22"/>
                <w:szCs w:val="22"/>
              </w:rPr>
            </w:pPr>
          </w:p>
          <w:p w:rsidR="00D375B1" w:rsidRPr="00E85451" w:rsidRDefault="00D375B1" w:rsidP="00D375B1">
            <w:pPr>
              <w:jc w:val="both"/>
              <w:rPr>
                <w:rFonts w:ascii="Arial" w:hAnsi="Arial" w:cs="Arial"/>
                <w:color w:val="auto"/>
                <w:sz w:val="22"/>
                <w:szCs w:val="22"/>
              </w:rPr>
            </w:pPr>
            <w:r w:rsidRPr="00E85451">
              <w:rPr>
                <w:rFonts w:ascii="Arial" w:hAnsi="Arial" w:cs="Arial"/>
                <w:color w:val="auto"/>
                <w:sz w:val="22"/>
                <w:szCs w:val="22"/>
              </w:rPr>
              <w:t>Događanjima organiziranima početkom 2014. obilježen je početak novog, najvećeg programa Europske unije u području obrazovanja, osposobljavanja, mladih i sporta. Tako je u siječnju u Zagrebu organiziran Erasmus+ info tjedan, sastavljen od pet sektorskih informativnih dana te pet sektorskih webinara. Informativni dani i webinari predstavili su mogućnosti i načine sudjelovanja u programu Erasmus+, a dodatno su webinari objavljeni na mrežnim stranicama Agencije, čime su dostupni svim građanima RH. Zatim, u veljači 2014. organizirana je konferencija povodom svečanog obilježavanja početka navedenoga novog programa. Svečanoj konferenciji nazočili su predstavnici Europske komisije kao i visoki uzvanici nacionalnih nadležnih ministarstava –</w:t>
            </w:r>
            <w:r w:rsidR="009A6A44">
              <w:rPr>
                <w:rFonts w:ascii="Arial" w:hAnsi="Arial" w:cs="Arial"/>
                <w:color w:val="auto"/>
                <w:sz w:val="22"/>
                <w:szCs w:val="22"/>
              </w:rPr>
              <w:t xml:space="preserve"> </w:t>
            </w:r>
            <w:r w:rsidRPr="00E85451">
              <w:rPr>
                <w:rFonts w:ascii="Arial" w:hAnsi="Arial" w:cs="Arial"/>
                <w:color w:val="auto"/>
                <w:sz w:val="22"/>
                <w:szCs w:val="22"/>
              </w:rPr>
              <w:t>ministar doc. dr. sc. Željko Jovanović, njegovi pomoćnici te pomoćnik ministrice socijalne politike i mladih. Navedenim događanjima više od 1200 građana RH informirano je o novom programu, njegovim ciljevima, prioritetima, i načinima sudjelovanja.</w:t>
            </w:r>
          </w:p>
          <w:p w:rsidR="00D375B1" w:rsidRPr="00E85451" w:rsidRDefault="00D375B1" w:rsidP="00D375B1">
            <w:pPr>
              <w:jc w:val="both"/>
              <w:rPr>
                <w:rFonts w:ascii="Arial" w:hAnsi="Arial" w:cs="Arial"/>
                <w:color w:val="auto"/>
                <w:sz w:val="22"/>
                <w:szCs w:val="22"/>
              </w:rPr>
            </w:pPr>
          </w:p>
          <w:p w:rsidR="00D375B1" w:rsidRPr="00E85451" w:rsidRDefault="00D375B1" w:rsidP="00D375B1">
            <w:pPr>
              <w:jc w:val="both"/>
              <w:rPr>
                <w:rFonts w:ascii="Arial" w:hAnsi="Arial" w:cs="Arial"/>
                <w:color w:val="auto"/>
                <w:sz w:val="22"/>
                <w:szCs w:val="22"/>
              </w:rPr>
            </w:pPr>
            <w:r w:rsidRPr="00E85451">
              <w:rPr>
                <w:rFonts w:ascii="Arial" w:hAnsi="Arial" w:cs="Arial"/>
                <w:color w:val="auto"/>
                <w:sz w:val="22"/>
                <w:szCs w:val="22"/>
              </w:rPr>
              <w:lastRenderedPageBreak/>
              <w:t>Nadalje, u prosincu 2014. započeta je informativna kampanja za Natječaj 2015. Informativna kampanja, organizirana u Zagrebu, sastojala se od pet seminara sa specifičnim sektorskim informacijama o sudjelovanju u programu; primjerima dobrih praksi, te zasebno održanih pet webinara, opet sektorski podijeljenih, sa specifičnim informacijama važnim za svaki pojedini sektor. Tijekom kampanje predstavljen je i novi, osvježeni vizualni identitet Agencije, kao i vizuali svakog pojedinog sektora – opće obrazovanje, strukovno obrazovanje i osposobljavanje, visoko obrazovanje, obrazovanje odraslih i mladi. Predstavljeni su i novi informativni materijali – letci o Erasmus+ programu po sektorima, kao i promotivni materijali Agencije. U spomenutim događajima sudjelovalo je oko 600 građana RH.</w:t>
            </w:r>
          </w:p>
          <w:p w:rsidR="00D375B1" w:rsidRPr="00E85451" w:rsidRDefault="00D375B1" w:rsidP="00D375B1">
            <w:pPr>
              <w:jc w:val="both"/>
              <w:rPr>
                <w:rFonts w:ascii="Arial" w:hAnsi="Arial" w:cs="Arial"/>
                <w:color w:val="auto"/>
                <w:sz w:val="22"/>
                <w:szCs w:val="22"/>
              </w:rPr>
            </w:pPr>
          </w:p>
          <w:p w:rsidR="00D375B1" w:rsidRPr="00E85451" w:rsidRDefault="00D375B1" w:rsidP="00D375B1">
            <w:pPr>
              <w:jc w:val="both"/>
              <w:rPr>
                <w:rFonts w:ascii="Arial" w:hAnsi="Arial" w:cs="Arial"/>
                <w:color w:val="auto"/>
                <w:sz w:val="22"/>
                <w:szCs w:val="22"/>
              </w:rPr>
            </w:pPr>
            <w:r w:rsidRPr="00E85451">
              <w:rPr>
                <w:rFonts w:ascii="Arial" w:hAnsi="Arial" w:cs="Arial"/>
                <w:color w:val="auto"/>
                <w:sz w:val="22"/>
                <w:szCs w:val="22"/>
              </w:rPr>
              <w:t>Između te dvije kampanje održano je 39 dodatnih događanja u organizaciji Agencije, a djelatnici Agencije još su dodatno sudjelovali na 121 događaju koji su organizirale suradne ustanove. Povrh toga, vanjski promotori Agencije, multiplikatori, predstavili su program 38 puta na raznim lokalnim i regionalnim događanjima.</w:t>
            </w:r>
          </w:p>
          <w:p w:rsidR="00D375B1" w:rsidRPr="00E85451" w:rsidRDefault="00D375B1" w:rsidP="00D375B1">
            <w:pPr>
              <w:jc w:val="both"/>
              <w:rPr>
                <w:rFonts w:ascii="Arial" w:hAnsi="Arial" w:cs="Arial"/>
                <w:color w:val="auto"/>
                <w:sz w:val="22"/>
                <w:szCs w:val="22"/>
              </w:rPr>
            </w:pPr>
          </w:p>
          <w:p w:rsidR="00D375B1" w:rsidRPr="00E85451" w:rsidRDefault="00D375B1" w:rsidP="00D375B1">
            <w:pPr>
              <w:jc w:val="both"/>
              <w:rPr>
                <w:rFonts w:ascii="Arial" w:hAnsi="Arial" w:cs="Arial"/>
                <w:color w:val="auto"/>
                <w:sz w:val="22"/>
                <w:szCs w:val="22"/>
              </w:rPr>
            </w:pPr>
            <w:r w:rsidRPr="00E85451">
              <w:rPr>
                <w:rFonts w:ascii="Arial" w:hAnsi="Arial" w:cs="Arial"/>
                <w:color w:val="auto"/>
                <w:sz w:val="22"/>
                <w:szCs w:val="22"/>
              </w:rPr>
              <w:t xml:space="preserve">Kao potpora odobrenim projektima i korisnicima, održano je i 13 početnih sastanaka za korisnike tijekom kojih su </w:t>
            </w:r>
            <w:r w:rsidR="009A6A44" w:rsidRPr="00E85451">
              <w:rPr>
                <w:rFonts w:ascii="Arial" w:hAnsi="Arial" w:cs="Arial"/>
                <w:color w:val="auto"/>
                <w:sz w:val="22"/>
                <w:szCs w:val="22"/>
              </w:rPr>
              <w:t>iznesene</w:t>
            </w:r>
            <w:r w:rsidRPr="00E85451">
              <w:rPr>
                <w:rFonts w:ascii="Arial" w:hAnsi="Arial" w:cs="Arial"/>
                <w:color w:val="auto"/>
                <w:sz w:val="22"/>
                <w:szCs w:val="22"/>
              </w:rPr>
              <w:t xml:space="preserve"> upute za bolje upravljanje projektom te lakše snalaženje u novom programu. </w:t>
            </w:r>
          </w:p>
          <w:p w:rsidR="00D375B1" w:rsidRPr="00E85451" w:rsidRDefault="00D375B1" w:rsidP="00D375B1">
            <w:pPr>
              <w:jc w:val="both"/>
              <w:rPr>
                <w:rFonts w:ascii="Arial" w:hAnsi="Arial" w:cs="Arial"/>
                <w:color w:val="auto"/>
                <w:sz w:val="22"/>
                <w:szCs w:val="22"/>
                <w:highlight w:val="yellow"/>
              </w:rPr>
            </w:pPr>
          </w:p>
          <w:p w:rsidR="00D375B1" w:rsidRPr="00E85451" w:rsidRDefault="00D375B1" w:rsidP="00D375B1">
            <w:pPr>
              <w:jc w:val="both"/>
              <w:rPr>
                <w:rFonts w:ascii="Arial" w:hAnsi="Arial" w:cs="Arial"/>
                <w:color w:val="auto"/>
                <w:sz w:val="22"/>
                <w:szCs w:val="22"/>
              </w:rPr>
            </w:pPr>
            <w:r w:rsidRPr="00E85451">
              <w:rPr>
                <w:rFonts w:ascii="Arial" w:hAnsi="Arial" w:cs="Arial"/>
                <w:color w:val="auto"/>
                <w:sz w:val="22"/>
                <w:szCs w:val="22"/>
              </w:rPr>
              <w:t>Agencija je također sudjelovala na najvećem nacionalnom događanju namijenjenom stipendijama i visokom obrazovanju – Sajmu stipendija, organiziranom u Zagrebu i Rijeci, gdje je predstavila svoje aktivnosti više od 11000 zainteresiranih mladih.</w:t>
            </w:r>
          </w:p>
          <w:p w:rsidR="007167B5" w:rsidRPr="00E85451" w:rsidRDefault="007167B5" w:rsidP="00601741">
            <w:pPr>
              <w:ind w:right="-539"/>
              <w:rPr>
                <w:rFonts w:ascii="Arial" w:hAnsi="Arial" w:cs="Arial"/>
                <w:color w:val="auto"/>
                <w:sz w:val="22"/>
                <w:szCs w:val="22"/>
              </w:rPr>
            </w:pPr>
          </w:p>
        </w:tc>
      </w:tr>
      <w:tr w:rsidR="00E85451" w:rsidRPr="00E85451" w:rsidTr="00601741">
        <w:tc>
          <w:tcPr>
            <w:tcW w:w="1550" w:type="dxa"/>
            <w:tcMar>
              <w:top w:w="105" w:type="dxa"/>
              <w:left w:w="105" w:type="dxa"/>
              <w:bottom w:w="105" w:type="dxa"/>
              <w:right w:w="105" w:type="dxa"/>
            </w:tcMar>
          </w:tcPr>
          <w:p w:rsidR="00D375B1" w:rsidRPr="00E85451" w:rsidRDefault="00D375B1" w:rsidP="00601741">
            <w:pPr>
              <w:ind w:right="-539"/>
              <w:rPr>
                <w:rFonts w:ascii="Arial" w:eastAsia="Arial" w:hAnsi="Arial" w:cs="Arial"/>
                <w:color w:val="auto"/>
                <w:sz w:val="22"/>
                <w:szCs w:val="22"/>
              </w:rPr>
            </w:pPr>
            <w:r w:rsidRPr="00E85451">
              <w:rPr>
                <w:rFonts w:ascii="Arial" w:eastAsia="Arial" w:hAnsi="Arial" w:cs="Arial"/>
                <w:color w:val="auto"/>
                <w:sz w:val="22"/>
                <w:szCs w:val="22"/>
              </w:rPr>
              <w:lastRenderedPageBreak/>
              <w:t xml:space="preserve">Nadzorne </w:t>
            </w:r>
          </w:p>
          <w:p w:rsidR="00D375B1" w:rsidRPr="00E85451" w:rsidRDefault="00D375B1" w:rsidP="00601741">
            <w:pPr>
              <w:ind w:right="-539"/>
              <w:rPr>
                <w:rFonts w:ascii="Arial" w:eastAsia="Arial" w:hAnsi="Arial" w:cs="Arial"/>
                <w:color w:val="auto"/>
                <w:sz w:val="22"/>
                <w:szCs w:val="22"/>
              </w:rPr>
            </w:pPr>
            <w:r w:rsidRPr="00E85451">
              <w:rPr>
                <w:rFonts w:ascii="Arial" w:eastAsia="Arial" w:hAnsi="Arial" w:cs="Arial"/>
                <w:color w:val="auto"/>
                <w:sz w:val="22"/>
                <w:szCs w:val="22"/>
              </w:rPr>
              <w:t xml:space="preserve">Aktivnosti nad </w:t>
            </w:r>
          </w:p>
          <w:p w:rsidR="00D375B1" w:rsidRPr="00E85451" w:rsidRDefault="00D375B1" w:rsidP="00601741">
            <w:pPr>
              <w:ind w:right="-539"/>
              <w:rPr>
                <w:rFonts w:ascii="Arial" w:eastAsia="Arial" w:hAnsi="Arial" w:cs="Arial"/>
                <w:color w:val="auto"/>
                <w:sz w:val="22"/>
                <w:szCs w:val="22"/>
              </w:rPr>
            </w:pPr>
            <w:r w:rsidRPr="00E85451">
              <w:rPr>
                <w:rFonts w:ascii="Arial" w:eastAsia="Arial" w:hAnsi="Arial" w:cs="Arial"/>
                <w:color w:val="auto"/>
                <w:sz w:val="22"/>
                <w:szCs w:val="22"/>
              </w:rPr>
              <w:t>Agencijom</w:t>
            </w:r>
          </w:p>
        </w:tc>
        <w:tc>
          <w:tcPr>
            <w:tcW w:w="8489" w:type="dxa"/>
            <w:tcMar>
              <w:top w:w="105" w:type="dxa"/>
              <w:left w:w="105" w:type="dxa"/>
              <w:bottom w:w="105" w:type="dxa"/>
              <w:right w:w="105" w:type="dxa"/>
            </w:tcMar>
          </w:tcPr>
          <w:p w:rsidR="00D375B1" w:rsidRPr="00E85451" w:rsidRDefault="00D375B1" w:rsidP="007A7132">
            <w:pPr>
              <w:ind w:right="-8"/>
              <w:jc w:val="both"/>
              <w:rPr>
                <w:rFonts w:ascii="Arial" w:hAnsi="Arial" w:cs="Arial"/>
                <w:color w:val="auto"/>
                <w:sz w:val="22"/>
                <w:szCs w:val="22"/>
              </w:rPr>
            </w:pPr>
            <w:r w:rsidRPr="00E85451">
              <w:rPr>
                <w:rFonts w:ascii="Arial" w:hAnsi="Arial" w:cs="Arial"/>
                <w:color w:val="auto"/>
                <w:sz w:val="22"/>
                <w:szCs w:val="22"/>
              </w:rPr>
              <w:t>Tijekom 2014. g. Agencija je i nadalje usko surađivala s nadležnim tijelima – Ministarstvom znanosti, obrazovanja i sporta, Ministarstvom socijalne politike i mladih te Europskom komisijom. Uz redovitu komunikaciju glede različitih provedbenih pitanja, nadležna tijela obavljala su i svoje kontinuirane nadzorne aktivnosti u vidu mjesečnih sastanaka, analize polugodišnjih i godišnjih izvješća, programskih posjeta, nadzornih posjeta te vanjske revizije.</w:t>
            </w:r>
          </w:p>
          <w:p w:rsidR="00D375B1" w:rsidRPr="00E85451" w:rsidRDefault="00D375B1" w:rsidP="007A7132">
            <w:pPr>
              <w:ind w:right="-8"/>
              <w:jc w:val="both"/>
              <w:rPr>
                <w:rFonts w:ascii="Arial" w:hAnsi="Arial" w:cs="Arial"/>
                <w:color w:val="auto"/>
                <w:sz w:val="22"/>
                <w:szCs w:val="22"/>
              </w:rPr>
            </w:pPr>
          </w:p>
        </w:tc>
      </w:tr>
      <w:tr w:rsidR="00E85451" w:rsidRPr="00E85451" w:rsidTr="00601741">
        <w:tc>
          <w:tcPr>
            <w:tcW w:w="1550" w:type="dxa"/>
            <w:tcMar>
              <w:top w:w="105" w:type="dxa"/>
              <w:left w:w="105" w:type="dxa"/>
              <w:bottom w:w="105" w:type="dxa"/>
              <w:right w:w="105" w:type="dxa"/>
            </w:tcMar>
          </w:tcPr>
          <w:p w:rsidR="007167B5" w:rsidRPr="00E85451" w:rsidRDefault="007167B5" w:rsidP="00601741">
            <w:pPr>
              <w:ind w:right="-539"/>
              <w:rPr>
                <w:rFonts w:ascii="Arial" w:hAnsi="Arial" w:cs="Arial"/>
                <w:color w:val="auto"/>
                <w:sz w:val="22"/>
                <w:szCs w:val="22"/>
              </w:rPr>
            </w:pPr>
            <w:r w:rsidRPr="00E85451">
              <w:rPr>
                <w:rFonts w:ascii="Arial" w:eastAsia="Arial" w:hAnsi="Arial" w:cs="Arial"/>
                <w:color w:val="auto"/>
                <w:sz w:val="22"/>
                <w:szCs w:val="22"/>
              </w:rPr>
              <w:t xml:space="preserve">Nadzorne </w:t>
            </w:r>
          </w:p>
          <w:p w:rsidR="007167B5" w:rsidRPr="00E85451" w:rsidRDefault="00D375B1" w:rsidP="00601741">
            <w:pPr>
              <w:ind w:right="-539"/>
              <w:rPr>
                <w:rFonts w:ascii="Arial" w:eastAsia="Arial" w:hAnsi="Arial" w:cs="Arial"/>
                <w:color w:val="auto"/>
                <w:sz w:val="22"/>
                <w:szCs w:val="22"/>
              </w:rPr>
            </w:pPr>
            <w:r w:rsidRPr="00E85451">
              <w:rPr>
                <w:rFonts w:ascii="Arial" w:eastAsia="Arial" w:hAnsi="Arial" w:cs="Arial"/>
                <w:color w:val="auto"/>
                <w:sz w:val="22"/>
                <w:szCs w:val="22"/>
              </w:rPr>
              <w:t>A</w:t>
            </w:r>
            <w:r w:rsidR="007167B5" w:rsidRPr="00E85451">
              <w:rPr>
                <w:rFonts w:ascii="Arial" w:eastAsia="Arial" w:hAnsi="Arial" w:cs="Arial"/>
                <w:color w:val="auto"/>
                <w:sz w:val="22"/>
                <w:szCs w:val="22"/>
              </w:rPr>
              <w:t>ktivnosti</w:t>
            </w:r>
            <w:r w:rsidRPr="00E85451">
              <w:rPr>
                <w:rFonts w:ascii="Arial" w:eastAsia="Arial" w:hAnsi="Arial" w:cs="Arial"/>
                <w:color w:val="auto"/>
                <w:sz w:val="22"/>
                <w:szCs w:val="22"/>
              </w:rPr>
              <w:t xml:space="preserve"> nad </w:t>
            </w:r>
          </w:p>
          <w:p w:rsidR="00D375B1" w:rsidRPr="00E85451" w:rsidRDefault="00D375B1" w:rsidP="00601741">
            <w:pPr>
              <w:ind w:right="-539"/>
              <w:rPr>
                <w:rFonts w:ascii="Arial" w:hAnsi="Arial" w:cs="Arial"/>
                <w:color w:val="auto"/>
                <w:sz w:val="22"/>
                <w:szCs w:val="22"/>
              </w:rPr>
            </w:pPr>
            <w:r w:rsidRPr="00E85451">
              <w:rPr>
                <w:rFonts w:ascii="Arial" w:eastAsia="Arial" w:hAnsi="Arial" w:cs="Arial"/>
                <w:color w:val="auto"/>
                <w:sz w:val="22"/>
                <w:szCs w:val="22"/>
              </w:rPr>
              <w:t>korisnicima</w:t>
            </w:r>
          </w:p>
        </w:tc>
        <w:tc>
          <w:tcPr>
            <w:tcW w:w="8489" w:type="dxa"/>
            <w:tcMar>
              <w:top w:w="105" w:type="dxa"/>
              <w:left w:w="105" w:type="dxa"/>
              <w:bottom w:w="105" w:type="dxa"/>
              <w:right w:w="105" w:type="dxa"/>
            </w:tcMar>
          </w:tcPr>
          <w:p w:rsidR="00D375B1" w:rsidRPr="00E85451" w:rsidRDefault="00D375B1" w:rsidP="007A7132">
            <w:pPr>
              <w:ind w:right="-8"/>
              <w:jc w:val="both"/>
              <w:rPr>
                <w:rFonts w:ascii="Arial" w:hAnsi="Arial" w:cs="Arial"/>
                <w:color w:val="auto"/>
                <w:sz w:val="22"/>
                <w:szCs w:val="22"/>
              </w:rPr>
            </w:pPr>
            <w:r w:rsidRPr="00E85451">
              <w:rPr>
                <w:rFonts w:ascii="Arial" w:hAnsi="Arial" w:cs="Arial"/>
                <w:color w:val="auto"/>
                <w:sz w:val="22"/>
                <w:szCs w:val="22"/>
              </w:rPr>
              <w:t>Korisnici koji će biti predmet nadzornih posjeta tijekom provedbe aktivnosti odabiru se metodom slučajnog odabira, u IT alatu Europske komisije pod nazivom Erasmus+ linku, te metodom procjene rizika uzimajući u obzir više parametara: broj ugovora, iznos po ugovoru, ( &gt;50.000 €, &gt; od 2 ugovora). Do sada su predmetom nadzornih posjeta tijekom aktivnosti i nakon završene aktivnosti bili projekti iz područja mladih jer isti kraće traju i veliki dio projekata ugovorenih u 2014. godini je već završio. Obavljen je nadzor nad ukupno 5 projekata.</w:t>
            </w:r>
          </w:p>
          <w:p w:rsidR="00D375B1" w:rsidRPr="00E85451" w:rsidRDefault="00D375B1" w:rsidP="007A7132">
            <w:pPr>
              <w:ind w:right="-8"/>
              <w:rPr>
                <w:rFonts w:ascii="Arial" w:eastAsia="Arial" w:hAnsi="Arial" w:cs="Arial"/>
                <w:color w:val="auto"/>
                <w:sz w:val="22"/>
                <w:szCs w:val="22"/>
              </w:rPr>
            </w:pPr>
          </w:p>
        </w:tc>
      </w:tr>
      <w:tr w:rsidR="00E85451" w:rsidRPr="00E85451" w:rsidTr="00601741">
        <w:tc>
          <w:tcPr>
            <w:tcW w:w="1550" w:type="dxa"/>
            <w:tcMar>
              <w:top w:w="105" w:type="dxa"/>
              <w:left w:w="105" w:type="dxa"/>
              <w:bottom w:w="105" w:type="dxa"/>
              <w:right w:w="105" w:type="dxa"/>
            </w:tcMar>
          </w:tcPr>
          <w:p w:rsidR="00D375B1" w:rsidRPr="00E85451" w:rsidRDefault="00D375B1" w:rsidP="00601741">
            <w:pPr>
              <w:ind w:right="-539"/>
              <w:rPr>
                <w:rFonts w:ascii="Arial" w:eastAsia="Arial" w:hAnsi="Arial" w:cs="Arial"/>
                <w:color w:val="auto"/>
                <w:sz w:val="22"/>
                <w:szCs w:val="22"/>
              </w:rPr>
            </w:pPr>
            <w:r w:rsidRPr="00E85451">
              <w:rPr>
                <w:rFonts w:ascii="Arial" w:eastAsia="Arial" w:hAnsi="Arial" w:cs="Arial"/>
                <w:color w:val="auto"/>
                <w:sz w:val="22"/>
                <w:szCs w:val="22"/>
              </w:rPr>
              <w:t xml:space="preserve">Poteškoće u </w:t>
            </w:r>
          </w:p>
          <w:p w:rsidR="00D375B1" w:rsidRPr="00E85451" w:rsidRDefault="00D375B1" w:rsidP="00601741">
            <w:pPr>
              <w:ind w:right="-539"/>
              <w:rPr>
                <w:rFonts w:ascii="Arial" w:eastAsia="Arial" w:hAnsi="Arial" w:cs="Arial"/>
                <w:color w:val="auto"/>
                <w:sz w:val="22"/>
                <w:szCs w:val="22"/>
              </w:rPr>
            </w:pPr>
            <w:r w:rsidRPr="00E85451">
              <w:rPr>
                <w:rFonts w:ascii="Arial" w:eastAsia="Arial" w:hAnsi="Arial" w:cs="Arial"/>
                <w:color w:val="auto"/>
                <w:sz w:val="22"/>
                <w:szCs w:val="22"/>
              </w:rPr>
              <w:t>provedbi</w:t>
            </w:r>
          </w:p>
        </w:tc>
        <w:tc>
          <w:tcPr>
            <w:tcW w:w="8489" w:type="dxa"/>
            <w:tcMar>
              <w:top w:w="105" w:type="dxa"/>
              <w:left w:w="105" w:type="dxa"/>
              <w:bottom w:w="105" w:type="dxa"/>
              <w:right w:w="105" w:type="dxa"/>
            </w:tcMar>
          </w:tcPr>
          <w:p w:rsidR="00D375B1" w:rsidRPr="00E85451" w:rsidRDefault="00D375B1" w:rsidP="007A7132">
            <w:pPr>
              <w:ind w:right="-8"/>
              <w:jc w:val="both"/>
              <w:rPr>
                <w:rFonts w:ascii="Arial" w:hAnsi="Arial" w:cs="Arial"/>
                <w:color w:val="auto"/>
                <w:sz w:val="22"/>
                <w:szCs w:val="22"/>
              </w:rPr>
            </w:pPr>
            <w:r w:rsidRPr="00E85451">
              <w:rPr>
                <w:rFonts w:ascii="Arial" w:hAnsi="Arial" w:cs="Arial"/>
                <w:color w:val="auto"/>
                <w:sz w:val="22"/>
                <w:szCs w:val="22"/>
              </w:rPr>
              <w:t>Poteškoće u provedbi prve godine novog programa</w:t>
            </w:r>
          </w:p>
          <w:p w:rsidR="00671F7D" w:rsidRPr="00E85451" w:rsidRDefault="00671F7D" w:rsidP="007A7132">
            <w:pPr>
              <w:ind w:right="-8"/>
              <w:jc w:val="both"/>
              <w:rPr>
                <w:rFonts w:ascii="Arial" w:hAnsi="Arial" w:cs="Arial"/>
                <w:color w:val="auto"/>
                <w:sz w:val="22"/>
                <w:szCs w:val="22"/>
              </w:rPr>
            </w:pPr>
          </w:p>
          <w:p w:rsidR="00D375B1" w:rsidRPr="00E85451" w:rsidRDefault="00D375B1" w:rsidP="007A7132">
            <w:pPr>
              <w:ind w:right="-8"/>
              <w:jc w:val="both"/>
              <w:rPr>
                <w:rFonts w:ascii="Arial" w:hAnsi="Arial" w:cs="Arial"/>
                <w:color w:val="auto"/>
                <w:sz w:val="22"/>
                <w:szCs w:val="22"/>
              </w:rPr>
            </w:pPr>
            <w:r w:rsidRPr="00E85451">
              <w:rPr>
                <w:rFonts w:ascii="Arial" w:hAnsi="Arial" w:cs="Arial"/>
                <w:color w:val="auto"/>
                <w:sz w:val="22"/>
                <w:szCs w:val="22"/>
              </w:rPr>
              <w:t>U 2014. g. djelatnici Agencije su istovremeno imali obveze vezane za implementaciju novog programa Erasmus+ kao i obveze koje se tiču prethodnih programa, zbog čega je bilo potrebno uložiti dodatni napor u što efikasnije obavljanje preklapajućih zadataka.</w:t>
            </w:r>
          </w:p>
          <w:p w:rsidR="00D375B1" w:rsidRPr="00E85451" w:rsidRDefault="00D375B1" w:rsidP="007A7132">
            <w:pPr>
              <w:ind w:right="-8"/>
              <w:jc w:val="both"/>
              <w:rPr>
                <w:rFonts w:ascii="Arial" w:hAnsi="Arial" w:cs="Arial"/>
                <w:color w:val="auto"/>
                <w:sz w:val="22"/>
                <w:szCs w:val="22"/>
              </w:rPr>
            </w:pPr>
          </w:p>
          <w:p w:rsidR="00D375B1" w:rsidRPr="00E85451" w:rsidRDefault="00D375B1" w:rsidP="007A7132">
            <w:pPr>
              <w:ind w:right="-8"/>
              <w:jc w:val="both"/>
              <w:rPr>
                <w:rFonts w:ascii="Arial" w:hAnsi="Arial" w:cs="Arial"/>
                <w:color w:val="auto"/>
                <w:sz w:val="22"/>
                <w:szCs w:val="22"/>
              </w:rPr>
            </w:pPr>
            <w:r w:rsidRPr="00E85451">
              <w:rPr>
                <w:rFonts w:ascii="Arial" w:hAnsi="Arial" w:cs="Arial"/>
                <w:color w:val="auto"/>
                <w:sz w:val="22"/>
                <w:szCs w:val="22"/>
              </w:rPr>
              <w:t xml:space="preserve">Uz to, značajne poteškoće u prvoj godini provedbe programa vežu se na IT alate Europske komisije (Eplus Link, BO reporting tool, Mobility tool, OEET) koji nisu bili u potpunosti funkcionalni i time su prouzročili razne probleme djelatnicima Agencije i korisnicima programa. Primjerice, sustav za predaju završnih izvješća Mobility Tool nije bio funkcionalan u trenutku kada su završili prvi projekti tako da neki korisnici </w:t>
            </w:r>
            <w:r w:rsidRPr="00E85451">
              <w:rPr>
                <w:rFonts w:ascii="Arial" w:hAnsi="Arial" w:cs="Arial"/>
                <w:color w:val="auto"/>
                <w:sz w:val="22"/>
                <w:szCs w:val="22"/>
              </w:rPr>
              <w:lastRenderedPageBreak/>
              <w:t>nisu bili u mogućnosti predati završno izvješće odmah po završetku projekta i time ostvariti pravo na završnu isplatu.</w:t>
            </w:r>
          </w:p>
          <w:p w:rsidR="00D375B1" w:rsidRPr="00E85451" w:rsidRDefault="00D375B1" w:rsidP="007A7132">
            <w:pPr>
              <w:ind w:right="-8"/>
              <w:jc w:val="both"/>
              <w:rPr>
                <w:rFonts w:ascii="Arial" w:hAnsi="Arial" w:cs="Arial"/>
                <w:color w:val="auto"/>
                <w:sz w:val="22"/>
                <w:szCs w:val="22"/>
              </w:rPr>
            </w:pPr>
          </w:p>
          <w:p w:rsidR="00D375B1" w:rsidRPr="00E85451" w:rsidRDefault="00D375B1" w:rsidP="007A7132">
            <w:pPr>
              <w:ind w:right="-8"/>
              <w:jc w:val="both"/>
              <w:rPr>
                <w:rFonts w:ascii="Arial" w:hAnsi="Arial" w:cs="Arial"/>
                <w:color w:val="auto"/>
                <w:sz w:val="22"/>
                <w:szCs w:val="22"/>
              </w:rPr>
            </w:pPr>
            <w:r w:rsidRPr="00E85451">
              <w:rPr>
                <w:rFonts w:ascii="Arial" w:hAnsi="Arial" w:cs="Arial"/>
                <w:color w:val="auto"/>
                <w:sz w:val="22"/>
                <w:szCs w:val="22"/>
              </w:rPr>
              <w:t>Nadalje, integrirani pristup novom programu bilo je teže ostvariti obzirom da je Europska komisija odredila različite rokove za prijavu na natječaje u području obrazovanja u odnosu na područje mladih. Osim toga, u području mladih bilo je 3 roka za prijavu na natječaj za iste aktivnosti, što je dodatno opteretilo djelatnike. Obzirom da projektni ciklus nije započeo u području mladih u isto vrijeme kao i u područjima obrazovanja to je utjecalo na brzinu i kvalitetu implementacije aktivnosti na sljedeće načine: uzrokovalo je dodatne sate rada, smanjilo je mogućnost koordinacije među područjima, dopustilo veću mogućnost pogrešaka i previda obzirom da su se djelatnici koji rade u području mladih trebali požuriti u svim internim procesima i fazama projektnog ciklusa te reduciralo potencijal za efikasan rad i sinergiju.</w:t>
            </w:r>
          </w:p>
          <w:p w:rsidR="00D375B1" w:rsidRPr="00E85451" w:rsidRDefault="00D375B1" w:rsidP="007A7132">
            <w:pPr>
              <w:ind w:right="-8"/>
              <w:jc w:val="both"/>
              <w:rPr>
                <w:rFonts w:ascii="Arial" w:hAnsi="Arial" w:cs="Arial"/>
                <w:color w:val="auto"/>
                <w:sz w:val="22"/>
                <w:szCs w:val="22"/>
              </w:rPr>
            </w:pPr>
          </w:p>
        </w:tc>
      </w:tr>
    </w:tbl>
    <w:p w:rsidR="007167B5" w:rsidRPr="00E85451" w:rsidRDefault="007167B5" w:rsidP="00D21772">
      <w:pPr>
        <w:ind w:right="-154"/>
        <w:jc w:val="both"/>
        <w:rPr>
          <w:rFonts w:ascii="Arial" w:hAnsi="Arial" w:cs="Arial"/>
          <w:color w:val="auto"/>
          <w:sz w:val="22"/>
          <w:szCs w:val="22"/>
        </w:rPr>
      </w:pPr>
    </w:p>
    <w:p w:rsidR="00521887" w:rsidRPr="000F3158" w:rsidRDefault="00521887" w:rsidP="00601741">
      <w:pPr>
        <w:pStyle w:val="Heading3"/>
        <w:rPr>
          <w:rFonts w:ascii="Arial" w:hAnsi="Arial" w:cs="Arial"/>
          <w:color w:val="auto"/>
          <w:sz w:val="24"/>
          <w:szCs w:val="24"/>
        </w:rPr>
      </w:pPr>
      <w:bookmarkStart w:id="9" w:name="_Toc419192151"/>
      <w:r w:rsidRPr="000F3158">
        <w:rPr>
          <w:rFonts w:ascii="Arial" w:hAnsi="Arial" w:cs="Arial"/>
          <w:color w:val="auto"/>
          <w:sz w:val="24"/>
          <w:szCs w:val="24"/>
        </w:rPr>
        <w:t>2.1.1. ECVET</w:t>
      </w:r>
      <w:bookmarkEnd w:id="9"/>
      <w:r w:rsidRPr="000F3158">
        <w:rPr>
          <w:rFonts w:ascii="Arial" w:hAnsi="Arial" w:cs="Arial"/>
          <w:color w:val="auto"/>
          <w:sz w:val="24"/>
          <w:szCs w:val="24"/>
        </w:rPr>
        <w:t xml:space="preserve"> </w:t>
      </w:r>
    </w:p>
    <w:p w:rsidR="00DF110F" w:rsidRPr="00E85451" w:rsidRDefault="00DF110F" w:rsidP="00F74C0A">
      <w:pPr>
        <w:ind w:right="-154"/>
        <w:rPr>
          <w:rFonts w:ascii="Arial" w:hAnsi="Arial" w:cs="Arial"/>
          <w:color w:val="auto"/>
          <w:sz w:val="22"/>
          <w:szCs w:val="22"/>
        </w:rPr>
      </w:pPr>
    </w:p>
    <w:tbl>
      <w:tblPr>
        <w:tblW w:w="9577" w:type="dxa"/>
        <w:tblInd w:w="-478" w:type="dxa"/>
        <w:tblLayout w:type="fixed"/>
        <w:tblLook w:val="0600" w:firstRow="0" w:lastRow="0" w:firstColumn="0" w:lastColumn="0" w:noHBand="1" w:noVBand="1"/>
      </w:tblPr>
      <w:tblGrid>
        <w:gridCol w:w="1560"/>
        <w:gridCol w:w="8017"/>
      </w:tblGrid>
      <w:tr w:rsidR="00E85451" w:rsidRPr="00E85451" w:rsidTr="005F1ABB">
        <w:tc>
          <w:tcPr>
            <w:tcW w:w="1560" w:type="dxa"/>
            <w:tcMar>
              <w:top w:w="88" w:type="dxa"/>
              <w:left w:w="88" w:type="dxa"/>
              <w:bottom w:w="88" w:type="dxa"/>
              <w:right w:w="88" w:type="dxa"/>
            </w:tcMar>
          </w:tcPr>
          <w:p w:rsidR="00DF110F" w:rsidRPr="00E85451" w:rsidRDefault="008C2AC4" w:rsidP="005F1ABB">
            <w:pPr>
              <w:ind w:right="-8"/>
              <w:rPr>
                <w:rFonts w:ascii="Arial" w:eastAsia="Arial" w:hAnsi="Arial" w:cs="Arial"/>
                <w:color w:val="auto"/>
                <w:sz w:val="22"/>
                <w:szCs w:val="22"/>
              </w:rPr>
            </w:pPr>
            <w:r w:rsidRPr="00E85451">
              <w:rPr>
                <w:rFonts w:ascii="Arial" w:eastAsia="Arial" w:hAnsi="Arial" w:cs="Arial"/>
                <w:color w:val="auto"/>
                <w:sz w:val="22"/>
                <w:szCs w:val="22"/>
              </w:rPr>
              <w:t>Ukratko o projektu i ciljevima:</w:t>
            </w:r>
          </w:p>
          <w:p w:rsidR="008E75B8" w:rsidRPr="00E85451" w:rsidRDefault="008E75B8" w:rsidP="005F1ABB">
            <w:pPr>
              <w:ind w:right="-8"/>
              <w:rPr>
                <w:rFonts w:ascii="Arial" w:eastAsia="Arial" w:hAnsi="Arial" w:cs="Arial"/>
                <w:color w:val="auto"/>
                <w:sz w:val="22"/>
                <w:szCs w:val="22"/>
                <w:highlight w:val="yellow"/>
              </w:rPr>
            </w:pPr>
          </w:p>
          <w:p w:rsidR="008E75B8" w:rsidRPr="00E85451" w:rsidRDefault="008E75B8" w:rsidP="005F1ABB">
            <w:pPr>
              <w:ind w:right="-8"/>
              <w:rPr>
                <w:rFonts w:ascii="Arial" w:hAnsi="Arial" w:cs="Arial"/>
                <w:color w:val="auto"/>
                <w:sz w:val="22"/>
                <w:szCs w:val="22"/>
                <w:highlight w:val="yellow"/>
              </w:rPr>
            </w:pPr>
          </w:p>
        </w:tc>
        <w:tc>
          <w:tcPr>
            <w:tcW w:w="8017" w:type="dxa"/>
            <w:tcMar>
              <w:top w:w="88" w:type="dxa"/>
              <w:left w:w="88" w:type="dxa"/>
              <w:bottom w:w="88" w:type="dxa"/>
              <w:right w:w="88" w:type="dxa"/>
            </w:tcMar>
          </w:tcPr>
          <w:p w:rsidR="008E75B8" w:rsidRPr="00E85451" w:rsidRDefault="008E75B8" w:rsidP="008E75B8">
            <w:pPr>
              <w:ind w:right="-8"/>
              <w:jc w:val="both"/>
              <w:rPr>
                <w:rFonts w:ascii="Arial" w:hAnsi="Arial" w:cs="Arial"/>
                <w:color w:val="auto"/>
                <w:sz w:val="22"/>
                <w:szCs w:val="22"/>
                <w:highlight w:val="yellow"/>
              </w:rPr>
            </w:pPr>
            <w:r w:rsidRPr="00E85451">
              <w:rPr>
                <w:rFonts w:ascii="Arial" w:eastAsia="Arial" w:hAnsi="Arial" w:cs="Arial"/>
                <w:color w:val="auto"/>
                <w:sz w:val="22"/>
                <w:szCs w:val="22"/>
              </w:rPr>
              <w:t>Radna skupina stručnjaka za Europski kreditni sustav u strukovnom obrazovanju i osposobljavanju (ECVET)</w:t>
            </w:r>
            <w:r w:rsidR="00D419FF" w:rsidRPr="00E85451">
              <w:rPr>
                <w:rFonts w:ascii="Arial" w:eastAsia="Arial" w:hAnsi="Arial" w:cs="Arial"/>
                <w:color w:val="auto"/>
                <w:sz w:val="22"/>
                <w:szCs w:val="22"/>
              </w:rPr>
              <w:t xml:space="preserve"> </w:t>
            </w:r>
            <w:r w:rsidRPr="00E85451">
              <w:rPr>
                <w:rFonts w:ascii="Arial" w:eastAsia="Arial" w:hAnsi="Arial" w:cs="Arial"/>
                <w:color w:val="auto"/>
                <w:sz w:val="22"/>
                <w:szCs w:val="22"/>
              </w:rPr>
              <w:t xml:space="preserve">projekt </w:t>
            </w:r>
            <w:r w:rsidR="00D419FF" w:rsidRPr="00E85451">
              <w:rPr>
                <w:rFonts w:ascii="Arial" w:eastAsia="Arial" w:hAnsi="Arial" w:cs="Arial"/>
                <w:color w:val="auto"/>
                <w:sz w:val="22"/>
                <w:szCs w:val="22"/>
              </w:rPr>
              <w:t xml:space="preserve">je </w:t>
            </w:r>
            <w:r w:rsidRPr="00E85451">
              <w:rPr>
                <w:rFonts w:ascii="Arial" w:eastAsia="Arial" w:hAnsi="Arial" w:cs="Arial"/>
                <w:color w:val="auto"/>
                <w:sz w:val="22"/>
                <w:szCs w:val="22"/>
              </w:rPr>
              <w:t>financiran od strane Europske komisije, u okviru Programa za cjeloživotno učenje, a nastavljen za trajanja programa Erasmus+.</w:t>
            </w:r>
            <w:r w:rsidRPr="00E85451" w:rsidDel="00AF6317">
              <w:rPr>
                <w:rFonts w:ascii="Arial" w:eastAsia="Arial" w:hAnsi="Arial" w:cs="Arial"/>
                <w:color w:val="auto"/>
                <w:sz w:val="22"/>
                <w:szCs w:val="22"/>
              </w:rPr>
              <w:t xml:space="preserve"> </w:t>
            </w:r>
            <w:r w:rsidRPr="00E85451">
              <w:rPr>
                <w:rFonts w:ascii="Arial" w:eastAsia="Arial" w:hAnsi="Arial" w:cs="Arial"/>
                <w:color w:val="auto"/>
                <w:sz w:val="22"/>
                <w:szCs w:val="22"/>
              </w:rPr>
              <w:t>Radna skupina djeluje od siječnja 2012. godine uz punu administrativnu, tehničku i programsku potporu Agencije. Svrha provedbe ovoga projekta jest učinkovita promidžba ECVET-a i njegovih prednosti za sve dionike na nacionalnoj razini te nacionalna primjena ovoga sustava, što se prije svega odnosi na međunarodnu mobilnost učenika u hrvatskim strukovnim školama. Jedan od ciljeva primjene ovoga sustava jest i poticanje međusobnog povjerenja te međunarodne suradnje u strukovnom obrazovanju i osposobljavanju.</w:t>
            </w:r>
          </w:p>
        </w:tc>
      </w:tr>
      <w:tr w:rsidR="00E85451" w:rsidRPr="00E85451" w:rsidTr="007E4E76">
        <w:trPr>
          <w:trHeight w:val="922"/>
        </w:trPr>
        <w:tc>
          <w:tcPr>
            <w:tcW w:w="1560" w:type="dxa"/>
            <w:tcMar>
              <w:top w:w="88" w:type="dxa"/>
              <w:left w:w="88" w:type="dxa"/>
              <w:bottom w:w="88" w:type="dxa"/>
              <w:right w:w="88" w:type="dxa"/>
            </w:tcMar>
          </w:tcPr>
          <w:p w:rsidR="00BC5CB2" w:rsidRPr="00E85451" w:rsidRDefault="008C2AC4" w:rsidP="005F1ABB">
            <w:pPr>
              <w:ind w:right="-8"/>
              <w:jc w:val="both"/>
              <w:rPr>
                <w:rFonts w:ascii="Arial" w:eastAsia="Arial" w:hAnsi="Arial" w:cs="Arial"/>
                <w:color w:val="auto"/>
                <w:sz w:val="22"/>
                <w:szCs w:val="22"/>
                <w:highlight w:val="yellow"/>
              </w:rPr>
            </w:pPr>
            <w:r w:rsidRPr="00E85451">
              <w:rPr>
                <w:rFonts w:ascii="Arial" w:eastAsia="Arial" w:hAnsi="Arial" w:cs="Arial"/>
                <w:color w:val="auto"/>
                <w:sz w:val="22"/>
                <w:szCs w:val="22"/>
              </w:rPr>
              <w:t>Pravna osnova</w:t>
            </w:r>
          </w:p>
          <w:p w:rsidR="005E3AD9" w:rsidRPr="00E85451" w:rsidRDefault="005E3AD9" w:rsidP="007E4E76">
            <w:pPr>
              <w:rPr>
                <w:rFonts w:ascii="Arial" w:eastAsia="Arial" w:hAnsi="Arial" w:cs="Arial"/>
                <w:color w:val="auto"/>
                <w:sz w:val="22"/>
                <w:szCs w:val="22"/>
                <w:highlight w:val="yellow"/>
              </w:rPr>
            </w:pPr>
          </w:p>
        </w:tc>
        <w:tc>
          <w:tcPr>
            <w:tcW w:w="8017" w:type="dxa"/>
            <w:tcMar>
              <w:top w:w="88" w:type="dxa"/>
              <w:left w:w="88" w:type="dxa"/>
              <w:bottom w:w="88" w:type="dxa"/>
              <w:right w:w="88" w:type="dxa"/>
            </w:tcMar>
          </w:tcPr>
          <w:p w:rsidR="0003513E" w:rsidRPr="00E85451" w:rsidRDefault="008E75B8" w:rsidP="005F1ABB">
            <w:pPr>
              <w:ind w:right="-8"/>
              <w:jc w:val="both"/>
              <w:rPr>
                <w:rFonts w:ascii="Arial" w:eastAsia="Arial" w:hAnsi="Arial" w:cs="Arial"/>
                <w:color w:val="auto"/>
                <w:sz w:val="22"/>
                <w:szCs w:val="22"/>
                <w:highlight w:val="yellow"/>
              </w:rPr>
            </w:pPr>
            <w:r w:rsidRPr="00E85451">
              <w:rPr>
                <w:rFonts w:ascii="Arial" w:eastAsia="Arial" w:hAnsi="Arial" w:cs="Arial"/>
                <w:color w:val="auto"/>
                <w:sz w:val="22"/>
                <w:szCs w:val="22"/>
              </w:rPr>
              <w:t>Pravnu osnovu za uspostavu ECVET-a čini Preporuka Europskoga parlamenta i Vijeća Europske unije kojom je uspostavljen 18. lipnja 2009. godine.</w:t>
            </w:r>
          </w:p>
        </w:tc>
      </w:tr>
      <w:tr w:rsidR="00E85451" w:rsidRPr="00E85451" w:rsidTr="005F1ABB">
        <w:trPr>
          <w:trHeight w:val="2520"/>
        </w:trPr>
        <w:tc>
          <w:tcPr>
            <w:tcW w:w="1560" w:type="dxa"/>
            <w:tcMar>
              <w:top w:w="88" w:type="dxa"/>
              <w:left w:w="88" w:type="dxa"/>
              <w:bottom w:w="88" w:type="dxa"/>
              <w:right w:w="88" w:type="dxa"/>
            </w:tcMar>
          </w:tcPr>
          <w:p w:rsidR="00DF110F" w:rsidRPr="00E85451" w:rsidRDefault="008C2AC4" w:rsidP="005F1ABB">
            <w:pPr>
              <w:ind w:right="-8"/>
              <w:jc w:val="both"/>
              <w:rPr>
                <w:rFonts w:ascii="Arial" w:hAnsi="Arial" w:cs="Arial"/>
                <w:color w:val="auto"/>
                <w:sz w:val="22"/>
                <w:szCs w:val="22"/>
                <w:highlight w:val="yellow"/>
              </w:rPr>
            </w:pPr>
            <w:r w:rsidRPr="00E85451">
              <w:rPr>
                <w:rFonts w:ascii="Arial" w:eastAsia="Arial" w:hAnsi="Arial" w:cs="Arial"/>
                <w:color w:val="auto"/>
                <w:sz w:val="22"/>
                <w:szCs w:val="22"/>
              </w:rPr>
              <w:t>Aktivnosti poduzete tijekom 2014.godine</w:t>
            </w:r>
          </w:p>
        </w:tc>
        <w:tc>
          <w:tcPr>
            <w:tcW w:w="8017" w:type="dxa"/>
            <w:tcMar>
              <w:top w:w="88" w:type="dxa"/>
              <w:left w:w="88" w:type="dxa"/>
              <w:bottom w:w="88" w:type="dxa"/>
              <w:right w:w="88" w:type="dxa"/>
            </w:tcMar>
          </w:tcPr>
          <w:p w:rsidR="008E75B8" w:rsidRPr="00E85451" w:rsidRDefault="008E75B8" w:rsidP="00223574">
            <w:pPr>
              <w:ind w:right="-8"/>
              <w:jc w:val="both"/>
              <w:rPr>
                <w:rFonts w:ascii="Arial" w:hAnsi="Arial" w:cs="Arial"/>
                <w:color w:val="auto"/>
                <w:sz w:val="22"/>
                <w:szCs w:val="22"/>
                <w:highlight w:val="yellow"/>
              </w:rPr>
            </w:pPr>
            <w:r w:rsidRPr="00E85451">
              <w:rPr>
                <w:rFonts w:ascii="Arial" w:eastAsia="Arial" w:hAnsi="Arial" w:cs="Arial"/>
                <w:color w:val="auto"/>
                <w:sz w:val="22"/>
                <w:szCs w:val="22"/>
              </w:rPr>
              <w:t xml:space="preserve">Redovne aktivnosti odvijale su se u ugovornom razdoblju od 1. travnja do 31. prosinca 2014. godine, a uključivale su sljedeće: održavanje redovnih koordinacijskih sastanaka, sudjelovanje na međunarodnim događanjima, suradnja s inicijativom Europass na promidžbi dokumenta Europass mobilnost, održavanje radionica “Međunarodna mobilnost učenika u kontekstu ECVET-a“ za ravnatelje i nastavnike srednjih strukovnih škola, kao i za koordinatore EU projekata, suradnja s korisnicima Programa za cjeloživotno učenje i programa Erasmus+ radi primjene sastavnica ECVET-a u odobrenim projektima mobilnosti te suradnja s vanjskim istraživačima radi provedbe i obrade ankete o mobilnosti i ECVET-u te analize normativnih akata relevantnih za mobilnost u strukovnom obrazovanju Republike Hrvatske.  </w:t>
            </w:r>
          </w:p>
        </w:tc>
      </w:tr>
      <w:tr w:rsidR="00E85451" w:rsidRPr="00E85451" w:rsidTr="005F1ABB">
        <w:tc>
          <w:tcPr>
            <w:tcW w:w="1560" w:type="dxa"/>
            <w:tcMar>
              <w:top w:w="88" w:type="dxa"/>
              <w:left w:w="88" w:type="dxa"/>
              <w:bottom w:w="88" w:type="dxa"/>
              <w:right w:w="88" w:type="dxa"/>
            </w:tcMar>
          </w:tcPr>
          <w:p w:rsidR="00DF110F" w:rsidRPr="00E85451" w:rsidRDefault="008C2AC4" w:rsidP="005F1ABB">
            <w:pPr>
              <w:ind w:right="-8"/>
              <w:jc w:val="both"/>
              <w:rPr>
                <w:rFonts w:ascii="Arial" w:hAnsi="Arial" w:cs="Arial"/>
                <w:color w:val="auto"/>
                <w:sz w:val="22"/>
                <w:szCs w:val="22"/>
                <w:highlight w:val="yellow"/>
              </w:rPr>
            </w:pPr>
            <w:r w:rsidRPr="00E85451">
              <w:rPr>
                <w:rFonts w:ascii="Arial" w:eastAsia="Arial" w:hAnsi="Arial" w:cs="Arial"/>
                <w:color w:val="auto"/>
                <w:sz w:val="22"/>
                <w:szCs w:val="22"/>
              </w:rPr>
              <w:t>Rezultati</w:t>
            </w:r>
          </w:p>
        </w:tc>
        <w:tc>
          <w:tcPr>
            <w:tcW w:w="8017" w:type="dxa"/>
            <w:tcMar>
              <w:top w:w="88" w:type="dxa"/>
              <w:left w:w="88" w:type="dxa"/>
              <w:bottom w:w="88" w:type="dxa"/>
              <w:right w:w="88" w:type="dxa"/>
            </w:tcMar>
          </w:tcPr>
          <w:p w:rsidR="008E75B8" w:rsidRPr="00E85451" w:rsidRDefault="008E75B8" w:rsidP="008E75B8">
            <w:pPr>
              <w:ind w:right="-8"/>
              <w:jc w:val="both"/>
              <w:rPr>
                <w:rFonts w:ascii="Arial" w:eastAsia="Arial" w:hAnsi="Arial" w:cs="Arial"/>
                <w:color w:val="auto"/>
                <w:sz w:val="22"/>
                <w:szCs w:val="22"/>
              </w:rPr>
            </w:pPr>
            <w:r w:rsidRPr="00E85451">
              <w:rPr>
                <w:rFonts w:ascii="Arial" w:eastAsia="Arial" w:hAnsi="Arial" w:cs="Arial"/>
                <w:color w:val="auto"/>
                <w:sz w:val="22"/>
                <w:szCs w:val="22"/>
              </w:rPr>
              <w:t>- suradnja prilikom pripreme i sudjelovanje na seminaru vršnjačkog učenja u slovenskom mjestu Mala Nedjelja u listopadu 2014. godine zajedno s nacionalnim koordinatorima i članovima radnih skupina stručnjaka za ECVET iz Austrije, Mađarske, Češke, Rumunjske, Slovačke i Slovenije,</w:t>
            </w:r>
          </w:p>
          <w:p w:rsidR="008E75B8" w:rsidRPr="00E85451" w:rsidRDefault="008E75B8" w:rsidP="008E75B8">
            <w:pPr>
              <w:ind w:right="-8"/>
              <w:jc w:val="both"/>
              <w:rPr>
                <w:rFonts w:ascii="Arial" w:eastAsia="Arial" w:hAnsi="Arial" w:cs="Arial"/>
                <w:color w:val="auto"/>
                <w:sz w:val="22"/>
                <w:szCs w:val="22"/>
              </w:rPr>
            </w:pPr>
            <w:r w:rsidRPr="00E85451">
              <w:rPr>
                <w:rFonts w:ascii="Arial" w:eastAsia="Arial" w:hAnsi="Arial" w:cs="Arial"/>
                <w:color w:val="auto"/>
                <w:sz w:val="22"/>
                <w:szCs w:val="22"/>
              </w:rPr>
              <w:t>- sudjelovanje dviju predstavnica hrvatske skupine na godišnjemu Forumu o ECVET-u održanom 30.-31. listopada 2014. godine u Beču,</w:t>
            </w:r>
          </w:p>
          <w:p w:rsidR="008E75B8" w:rsidRPr="00E85451" w:rsidRDefault="008E75B8" w:rsidP="008E75B8">
            <w:pPr>
              <w:ind w:right="-8"/>
              <w:jc w:val="both"/>
              <w:rPr>
                <w:rFonts w:ascii="Arial" w:eastAsia="Arial" w:hAnsi="Arial" w:cs="Arial"/>
                <w:color w:val="auto"/>
                <w:sz w:val="22"/>
                <w:szCs w:val="22"/>
              </w:rPr>
            </w:pPr>
            <w:r w:rsidRPr="00E85451">
              <w:rPr>
                <w:rFonts w:ascii="Arial" w:eastAsia="Arial" w:hAnsi="Arial" w:cs="Arial"/>
                <w:color w:val="auto"/>
                <w:sz w:val="22"/>
                <w:szCs w:val="22"/>
              </w:rPr>
              <w:lastRenderedPageBreak/>
              <w:t xml:space="preserve">- redovni koordinacijski sastanci (u srpnju, rujnu, listopadu i studenom 2014. godine) tijekom kojih je dogovoren odgovarajući način promidžbe i primjene ECVET-a u nacionalnom kontekstu te razmotreni svi aspekti ovoga sustava, </w:t>
            </w:r>
          </w:p>
          <w:p w:rsidR="008E75B8" w:rsidRPr="00E85451" w:rsidRDefault="008E75B8" w:rsidP="008E75B8">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 uspostava suradnje s </w:t>
            </w:r>
            <w:r w:rsidR="00D419FF" w:rsidRPr="00E85451">
              <w:rPr>
                <w:rFonts w:ascii="Arial" w:eastAsia="Arial" w:hAnsi="Arial" w:cs="Arial"/>
                <w:color w:val="auto"/>
                <w:sz w:val="22"/>
                <w:szCs w:val="22"/>
              </w:rPr>
              <w:t xml:space="preserve">vanjskim stručnjacima koji su </w:t>
            </w:r>
            <w:r w:rsidRPr="00E85451">
              <w:rPr>
                <w:rFonts w:ascii="Arial" w:eastAsia="Arial" w:hAnsi="Arial" w:cs="Arial"/>
                <w:color w:val="auto"/>
                <w:sz w:val="22"/>
                <w:szCs w:val="22"/>
              </w:rPr>
              <w:t>prilagodil</w:t>
            </w:r>
            <w:r w:rsidR="00D419FF" w:rsidRPr="00E85451">
              <w:rPr>
                <w:rFonts w:ascii="Arial" w:eastAsia="Arial" w:hAnsi="Arial" w:cs="Arial"/>
                <w:color w:val="auto"/>
                <w:sz w:val="22"/>
                <w:szCs w:val="22"/>
              </w:rPr>
              <w:t>i</w:t>
            </w:r>
            <w:r w:rsidRPr="00E85451">
              <w:rPr>
                <w:rFonts w:ascii="Arial" w:eastAsia="Arial" w:hAnsi="Arial" w:cs="Arial"/>
                <w:color w:val="auto"/>
                <w:sz w:val="22"/>
                <w:szCs w:val="22"/>
              </w:rPr>
              <w:t>, provel</w:t>
            </w:r>
            <w:r w:rsidR="00D419FF" w:rsidRPr="00E85451">
              <w:rPr>
                <w:rFonts w:ascii="Arial" w:eastAsia="Arial" w:hAnsi="Arial" w:cs="Arial"/>
                <w:color w:val="auto"/>
                <w:sz w:val="22"/>
                <w:szCs w:val="22"/>
              </w:rPr>
              <w:t>i</w:t>
            </w:r>
            <w:r w:rsidRPr="00E85451">
              <w:rPr>
                <w:rFonts w:ascii="Arial" w:eastAsia="Arial" w:hAnsi="Arial" w:cs="Arial"/>
                <w:color w:val="auto"/>
                <w:sz w:val="22"/>
                <w:szCs w:val="22"/>
              </w:rPr>
              <w:t xml:space="preserve"> i obradil</w:t>
            </w:r>
            <w:r w:rsidR="00D419FF" w:rsidRPr="00E85451">
              <w:rPr>
                <w:rFonts w:ascii="Arial" w:eastAsia="Arial" w:hAnsi="Arial" w:cs="Arial"/>
                <w:color w:val="auto"/>
                <w:sz w:val="22"/>
                <w:szCs w:val="22"/>
              </w:rPr>
              <w:t>i</w:t>
            </w:r>
            <w:r w:rsidRPr="00E85451">
              <w:rPr>
                <w:rFonts w:ascii="Arial" w:eastAsia="Arial" w:hAnsi="Arial" w:cs="Arial"/>
                <w:color w:val="auto"/>
                <w:sz w:val="22"/>
                <w:szCs w:val="22"/>
              </w:rPr>
              <w:t xml:space="preserve"> anketu o međunarodnoj mobilnosti učenika hrvatskih srednjih strukovnih škola te načini</w:t>
            </w:r>
            <w:r w:rsidR="00D419FF" w:rsidRPr="00E85451">
              <w:rPr>
                <w:rFonts w:ascii="Arial" w:eastAsia="Arial" w:hAnsi="Arial" w:cs="Arial"/>
                <w:color w:val="auto"/>
                <w:sz w:val="22"/>
                <w:szCs w:val="22"/>
              </w:rPr>
              <w:t>li</w:t>
            </w:r>
            <w:r w:rsidRPr="00E85451">
              <w:rPr>
                <w:rFonts w:ascii="Arial" w:eastAsia="Arial" w:hAnsi="Arial" w:cs="Arial"/>
                <w:color w:val="auto"/>
                <w:sz w:val="22"/>
                <w:szCs w:val="22"/>
              </w:rPr>
              <w:t xml:space="preserve"> analizu sadržaja normativnih akata u području mobilnosti unutar strukovnog obrazovanja Republike Hrvatske,</w:t>
            </w:r>
          </w:p>
          <w:p w:rsidR="008E75B8" w:rsidRPr="00E85451" w:rsidRDefault="008E75B8" w:rsidP="008E75B8">
            <w:pPr>
              <w:ind w:right="-8"/>
              <w:jc w:val="both"/>
              <w:rPr>
                <w:rFonts w:ascii="Arial" w:eastAsia="Arial" w:hAnsi="Arial" w:cs="Arial"/>
                <w:color w:val="auto"/>
                <w:sz w:val="22"/>
                <w:szCs w:val="22"/>
              </w:rPr>
            </w:pPr>
            <w:r w:rsidRPr="00E85451">
              <w:rPr>
                <w:rFonts w:ascii="Arial" w:eastAsia="Arial" w:hAnsi="Arial" w:cs="Arial"/>
                <w:color w:val="auto"/>
                <w:sz w:val="22"/>
                <w:szCs w:val="22"/>
              </w:rPr>
              <w:t>- održane su tri radionice o ECVET-u u međunarodnoj mobilnosti učenika (dvije u Zagrebu i jedna u Rijeci) za ravnatelje i nastavnike u hrvatskim strukovnim školama te koordinatore EU projekata mobilnosti,</w:t>
            </w:r>
          </w:p>
          <w:p w:rsidR="00DF110F" w:rsidRPr="00E85451" w:rsidRDefault="008E75B8" w:rsidP="008E75B8">
            <w:pPr>
              <w:ind w:right="-8"/>
              <w:jc w:val="both"/>
              <w:rPr>
                <w:rFonts w:ascii="Arial" w:hAnsi="Arial" w:cs="Arial"/>
                <w:color w:val="auto"/>
                <w:sz w:val="22"/>
                <w:szCs w:val="22"/>
                <w:highlight w:val="yellow"/>
              </w:rPr>
            </w:pPr>
            <w:r w:rsidRPr="00E85451">
              <w:rPr>
                <w:rFonts w:ascii="Arial" w:eastAsia="Arial" w:hAnsi="Arial" w:cs="Arial"/>
                <w:color w:val="auto"/>
                <w:sz w:val="22"/>
                <w:szCs w:val="22"/>
              </w:rPr>
              <w:t>- uspostava suradnje s Poljoprivrednom školom iz Zagreba radi savjetovanja o pripremi i provedbi elemenata ECVET-a u njihovu odobrenom projektnom prijedlogu, a koji će primijeniti u projektu mobilnosti s istovrsnom školom iz Padove.</w:t>
            </w:r>
          </w:p>
        </w:tc>
      </w:tr>
      <w:tr w:rsidR="00E85451" w:rsidRPr="00E85451" w:rsidTr="005F1ABB">
        <w:tc>
          <w:tcPr>
            <w:tcW w:w="1560" w:type="dxa"/>
            <w:tcMar>
              <w:top w:w="88" w:type="dxa"/>
              <w:left w:w="88" w:type="dxa"/>
              <w:bottom w:w="88" w:type="dxa"/>
              <w:right w:w="88" w:type="dxa"/>
            </w:tcMar>
          </w:tcPr>
          <w:p w:rsidR="00634E78" w:rsidRPr="00E85451" w:rsidRDefault="00634E78" w:rsidP="005F1ABB">
            <w:pPr>
              <w:ind w:right="-8"/>
              <w:rPr>
                <w:rFonts w:ascii="Arial" w:eastAsia="Arial" w:hAnsi="Arial" w:cs="Arial"/>
                <w:color w:val="auto"/>
                <w:sz w:val="22"/>
                <w:szCs w:val="22"/>
              </w:rPr>
            </w:pPr>
          </w:p>
          <w:p w:rsidR="00DF110F" w:rsidRPr="00E85451" w:rsidRDefault="008C2AC4" w:rsidP="005F1ABB">
            <w:pPr>
              <w:ind w:right="-8"/>
              <w:rPr>
                <w:rFonts w:ascii="Arial" w:hAnsi="Arial" w:cs="Arial"/>
                <w:color w:val="auto"/>
                <w:sz w:val="22"/>
                <w:szCs w:val="22"/>
              </w:rPr>
            </w:pPr>
            <w:r w:rsidRPr="00E85451">
              <w:rPr>
                <w:rFonts w:ascii="Arial" w:eastAsia="Arial" w:hAnsi="Arial" w:cs="Arial"/>
                <w:color w:val="auto"/>
                <w:sz w:val="22"/>
                <w:szCs w:val="22"/>
              </w:rPr>
              <w:t>Promotivne,</w:t>
            </w:r>
          </w:p>
          <w:p w:rsidR="00DF110F" w:rsidRPr="00E85451" w:rsidRDefault="008C2AC4" w:rsidP="005F1ABB">
            <w:pPr>
              <w:ind w:right="-8"/>
              <w:rPr>
                <w:rFonts w:ascii="Arial" w:hAnsi="Arial" w:cs="Arial"/>
                <w:color w:val="auto"/>
                <w:sz w:val="22"/>
                <w:szCs w:val="22"/>
              </w:rPr>
            </w:pPr>
            <w:r w:rsidRPr="00E85451">
              <w:rPr>
                <w:rFonts w:ascii="Arial" w:eastAsia="Arial" w:hAnsi="Arial" w:cs="Arial"/>
                <w:color w:val="auto"/>
                <w:sz w:val="22"/>
                <w:szCs w:val="22"/>
              </w:rPr>
              <w:t>informativne i potporne</w:t>
            </w:r>
          </w:p>
          <w:p w:rsidR="00DF110F" w:rsidRPr="00E85451" w:rsidRDefault="008C2AC4" w:rsidP="005F1ABB">
            <w:pPr>
              <w:ind w:right="-8"/>
              <w:rPr>
                <w:rFonts w:ascii="Arial" w:hAnsi="Arial" w:cs="Arial"/>
                <w:color w:val="auto"/>
                <w:sz w:val="22"/>
                <w:szCs w:val="22"/>
                <w:highlight w:val="yellow"/>
              </w:rPr>
            </w:pPr>
            <w:r w:rsidRPr="00E85451">
              <w:rPr>
                <w:rFonts w:ascii="Arial" w:eastAsia="Arial" w:hAnsi="Arial" w:cs="Arial"/>
                <w:color w:val="auto"/>
                <w:sz w:val="22"/>
                <w:szCs w:val="22"/>
              </w:rPr>
              <w:t>aktivnosti</w:t>
            </w:r>
          </w:p>
        </w:tc>
        <w:tc>
          <w:tcPr>
            <w:tcW w:w="8017" w:type="dxa"/>
            <w:tcMar>
              <w:top w:w="88" w:type="dxa"/>
              <w:left w:w="88" w:type="dxa"/>
              <w:bottom w:w="88" w:type="dxa"/>
              <w:right w:w="88" w:type="dxa"/>
            </w:tcMar>
          </w:tcPr>
          <w:p w:rsidR="00DF110F" w:rsidRPr="00E85451" w:rsidRDefault="00DF110F" w:rsidP="005F1ABB">
            <w:pPr>
              <w:ind w:right="-8"/>
              <w:jc w:val="both"/>
              <w:rPr>
                <w:rFonts w:ascii="Arial" w:eastAsia="Arial" w:hAnsi="Arial" w:cs="Arial"/>
                <w:color w:val="auto"/>
                <w:sz w:val="22"/>
                <w:szCs w:val="22"/>
                <w:highlight w:val="yellow"/>
              </w:rPr>
            </w:pPr>
          </w:p>
          <w:p w:rsidR="00634E78" w:rsidRPr="00E85451" w:rsidRDefault="00634E78" w:rsidP="00634E78">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Održana </w:t>
            </w:r>
            <w:r w:rsidR="00A35E05" w:rsidRPr="00E85451">
              <w:rPr>
                <w:rFonts w:ascii="Arial" w:eastAsia="Arial" w:hAnsi="Arial" w:cs="Arial"/>
                <w:color w:val="auto"/>
                <w:sz w:val="22"/>
                <w:szCs w:val="22"/>
              </w:rPr>
              <w:t xml:space="preserve">su </w:t>
            </w:r>
            <w:r w:rsidRPr="00E85451">
              <w:rPr>
                <w:rFonts w:ascii="Arial" w:eastAsia="Arial" w:hAnsi="Arial" w:cs="Arial"/>
                <w:color w:val="auto"/>
                <w:sz w:val="22"/>
                <w:szCs w:val="22"/>
              </w:rPr>
              <w:t>4 koordinacijska sastanka članova Radne skupine od 1. travnja do prosinca 2014. godine.</w:t>
            </w:r>
          </w:p>
          <w:p w:rsidR="00634E78" w:rsidRPr="00E85451" w:rsidRDefault="00634E78" w:rsidP="00634E78">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Intenzivna promidžbena aktivnost odvijala se na tri radionice za ravnatelje i nastavnike strukovnih škola i koordinatore EU projekata. </w:t>
            </w:r>
            <w:r w:rsidR="00A35E05" w:rsidRPr="00E85451">
              <w:rPr>
                <w:rFonts w:ascii="Arial" w:eastAsia="Arial" w:hAnsi="Arial" w:cs="Arial"/>
                <w:color w:val="auto"/>
                <w:sz w:val="22"/>
                <w:szCs w:val="22"/>
              </w:rPr>
              <w:t xml:space="preserve">U prosjeku je sudjelovalo </w:t>
            </w:r>
            <w:r w:rsidRPr="00E85451">
              <w:rPr>
                <w:rFonts w:ascii="Arial" w:eastAsia="Arial" w:hAnsi="Arial" w:cs="Arial"/>
                <w:color w:val="auto"/>
                <w:sz w:val="22"/>
                <w:szCs w:val="22"/>
              </w:rPr>
              <w:t>30 osoba</w:t>
            </w:r>
            <w:r w:rsidR="00A35E05" w:rsidRPr="00E85451">
              <w:rPr>
                <w:rFonts w:ascii="Arial" w:eastAsia="Arial" w:hAnsi="Arial" w:cs="Arial"/>
                <w:color w:val="auto"/>
                <w:sz w:val="22"/>
                <w:szCs w:val="22"/>
              </w:rPr>
              <w:t xml:space="preserve"> po radionici.</w:t>
            </w:r>
          </w:p>
          <w:p w:rsidR="00634E78" w:rsidRPr="00E85451" w:rsidRDefault="00634E78" w:rsidP="00634E78">
            <w:pPr>
              <w:ind w:right="-8"/>
              <w:jc w:val="both"/>
              <w:rPr>
                <w:rFonts w:ascii="Arial" w:eastAsia="Arial" w:hAnsi="Arial" w:cs="Arial"/>
                <w:color w:val="auto"/>
                <w:sz w:val="22"/>
                <w:szCs w:val="22"/>
              </w:rPr>
            </w:pPr>
            <w:r w:rsidRPr="00E85451">
              <w:rPr>
                <w:rFonts w:ascii="Arial" w:eastAsia="Arial" w:hAnsi="Arial" w:cs="Arial"/>
                <w:color w:val="auto"/>
                <w:sz w:val="22"/>
                <w:szCs w:val="22"/>
              </w:rPr>
              <w:t>Ujedno su zabilježena gostovanja i izlaganja o ECVET-u na informativnom danu i uvodnom sastanku za korisnike programa Erasmus+.</w:t>
            </w:r>
          </w:p>
          <w:p w:rsidR="00BC5CB2" w:rsidRPr="00E85451" w:rsidRDefault="00BC5CB2" w:rsidP="00634E78">
            <w:pPr>
              <w:ind w:right="-8"/>
              <w:jc w:val="both"/>
              <w:rPr>
                <w:rFonts w:ascii="Arial" w:eastAsia="Arial" w:hAnsi="Arial" w:cs="Arial"/>
                <w:color w:val="auto"/>
                <w:sz w:val="22"/>
                <w:szCs w:val="22"/>
              </w:rPr>
            </w:pPr>
          </w:p>
          <w:p w:rsidR="00DF110F" w:rsidRPr="00E85451" w:rsidRDefault="00DF110F" w:rsidP="00634E78">
            <w:pPr>
              <w:ind w:right="-8"/>
              <w:jc w:val="both"/>
              <w:rPr>
                <w:rFonts w:ascii="Arial" w:hAnsi="Arial" w:cs="Arial"/>
                <w:color w:val="auto"/>
                <w:sz w:val="22"/>
                <w:szCs w:val="22"/>
              </w:rPr>
            </w:pPr>
          </w:p>
        </w:tc>
      </w:tr>
    </w:tbl>
    <w:p w:rsidR="00DF110F" w:rsidRPr="00E85451" w:rsidRDefault="00DF110F" w:rsidP="00F74C0A">
      <w:pPr>
        <w:ind w:right="-154"/>
        <w:rPr>
          <w:rFonts w:ascii="Arial" w:hAnsi="Arial" w:cs="Arial"/>
          <w:color w:val="auto"/>
          <w:sz w:val="22"/>
          <w:szCs w:val="22"/>
        </w:rPr>
      </w:pPr>
    </w:p>
    <w:p w:rsidR="00D443FC" w:rsidRPr="00E85451" w:rsidRDefault="00D443FC" w:rsidP="00F74C0A">
      <w:pPr>
        <w:ind w:right="-154"/>
        <w:rPr>
          <w:rFonts w:ascii="Arial" w:hAnsi="Arial" w:cs="Arial"/>
          <w:color w:val="auto"/>
          <w:sz w:val="22"/>
          <w:szCs w:val="22"/>
        </w:rPr>
      </w:pPr>
    </w:p>
    <w:tbl>
      <w:tblPr>
        <w:tblW w:w="9322" w:type="dxa"/>
        <w:tblLayout w:type="fixed"/>
        <w:tblLook w:val="04A0" w:firstRow="1" w:lastRow="0" w:firstColumn="1" w:lastColumn="0" w:noHBand="0" w:noVBand="1"/>
      </w:tblPr>
      <w:tblGrid>
        <w:gridCol w:w="1951"/>
        <w:gridCol w:w="2150"/>
        <w:gridCol w:w="1780"/>
        <w:gridCol w:w="1740"/>
        <w:gridCol w:w="1701"/>
      </w:tblGrid>
      <w:tr w:rsidR="00E85451" w:rsidRPr="00E85451" w:rsidTr="00601741">
        <w:trPr>
          <w:trHeight w:val="315"/>
        </w:trPr>
        <w:tc>
          <w:tcPr>
            <w:tcW w:w="1951" w:type="dxa"/>
            <w:tcBorders>
              <w:top w:val="nil"/>
              <w:left w:val="nil"/>
              <w:bottom w:val="nil"/>
              <w:right w:val="nil"/>
            </w:tcBorders>
            <w:shd w:val="clear" w:color="auto" w:fill="auto"/>
            <w:noWrap/>
            <w:vAlign w:val="bottom"/>
            <w:hideMark/>
          </w:tcPr>
          <w:p w:rsidR="00D443FC" w:rsidRPr="00E85451" w:rsidRDefault="00D443FC" w:rsidP="00601741">
            <w:pPr>
              <w:widowControl/>
              <w:rPr>
                <w:rFonts w:ascii="Arial" w:hAnsi="Arial" w:cs="Arial"/>
                <w:color w:val="auto"/>
                <w:sz w:val="22"/>
                <w:szCs w:val="22"/>
              </w:rPr>
            </w:pPr>
          </w:p>
        </w:tc>
        <w:tc>
          <w:tcPr>
            <w:tcW w:w="2150" w:type="dxa"/>
            <w:tcBorders>
              <w:top w:val="nil"/>
              <w:left w:val="nil"/>
              <w:bottom w:val="nil"/>
              <w:right w:val="nil"/>
            </w:tcBorders>
            <w:shd w:val="clear" w:color="auto" w:fill="auto"/>
            <w:noWrap/>
            <w:vAlign w:val="bottom"/>
            <w:hideMark/>
          </w:tcPr>
          <w:p w:rsidR="00D443FC" w:rsidRPr="00E85451" w:rsidRDefault="00D443FC" w:rsidP="00601741">
            <w:pPr>
              <w:widowControl/>
              <w:rPr>
                <w:rFonts w:ascii="Arial" w:hAnsi="Arial" w:cs="Arial"/>
                <w:color w:val="auto"/>
                <w:sz w:val="22"/>
                <w:szCs w:val="22"/>
              </w:rPr>
            </w:pPr>
          </w:p>
        </w:tc>
        <w:tc>
          <w:tcPr>
            <w:tcW w:w="1780" w:type="dxa"/>
            <w:tcBorders>
              <w:top w:val="nil"/>
              <w:left w:val="nil"/>
              <w:bottom w:val="nil"/>
              <w:right w:val="nil"/>
            </w:tcBorders>
            <w:shd w:val="clear" w:color="auto" w:fill="auto"/>
            <w:noWrap/>
            <w:vAlign w:val="bottom"/>
            <w:hideMark/>
          </w:tcPr>
          <w:p w:rsidR="00D443FC" w:rsidRPr="00E85451" w:rsidRDefault="00D443FC" w:rsidP="00601741">
            <w:pPr>
              <w:widowControl/>
              <w:rPr>
                <w:rFonts w:ascii="Arial" w:hAnsi="Arial" w:cs="Arial"/>
                <w:color w:val="auto"/>
                <w:sz w:val="22"/>
                <w:szCs w:val="22"/>
              </w:rPr>
            </w:pPr>
          </w:p>
        </w:tc>
        <w:tc>
          <w:tcPr>
            <w:tcW w:w="1740" w:type="dxa"/>
            <w:tcBorders>
              <w:top w:val="nil"/>
              <w:left w:val="nil"/>
              <w:bottom w:val="nil"/>
              <w:right w:val="nil"/>
            </w:tcBorders>
            <w:shd w:val="clear" w:color="auto" w:fill="auto"/>
            <w:noWrap/>
            <w:vAlign w:val="bottom"/>
            <w:hideMark/>
          </w:tcPr>
          <w:p w:rsidR="00D443FC" w:rsidRPr="00E85451" w:rsidRDefault="00D443FC" w:rsidP="00601741">
            <w:pPr>
              <w:widowControl/>
              <w:rPr>
                <w:rFonts w:ascii="Arial" w:hAnsi="Arial" w:cs="Arial"/>
                <w:color w:val="auto"/>
                <w:sz w:val="22"/>
                <w:szCs w:val="22"/>
              </w:rPr>
            </w:pPr>
          </w:p>
        </w:tc>
        <w:tc>
          <w:tcPr>
            <w:tcW w:w="1701" w:type="dxa"/>
            <w:tcBorders>
              <w:top w:val="nil"/>
              <w:left w:val="nil"/>
              <w:bottom w:val="nil"/>
              <w:right w:val="nil"/>
            </w:tcBorders>
            <w:shd w:val="clear" w:color="auto" w:fill="auto"/>
            <w:noWrap/>
            <w:vAlign w:val="bottom"/>
            <w:hideMark/>
          </w:tcPr>
          <w:p w:rsidR="00D443FC" w:rsidRPr="00E85451" w:rsidRDefault="00D443FC" w:rsidP="00601741">
            <w:pPr>
              <w:widowControl/>
              <w:rPr>
                <w:rFonts w:ascii="Arial" w:hAnsi="Arial" w:cs="Arial"/>
                <w:color w:val="auto"/>
                <w:sz w:val="22"/>
                <w:szCs w:val="22"/>
              </w:rPr>
            </w:pPr>
          </w:p>
        </w:tc>
      </w:tr>
      <w:tr w:rsidR="00E85451" w:rsidRPr="00E85451" w:rsidTr="00601741">
        <w:trPr>
          <w:trHeight w:val="795"/>
        </w:trPr>
        <w:tc>
          <w:tcPr>
            <w:tcW w:w="1951"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443FC" w:rsidRPr="00E85451" w:rsidRDefault="00D443FC" w:rsidP="00601741">
            <w:pPr>
              <w:widowControl/>
              <w:jc w:val="center"/>
              <w:rPr>
                <w:rFonts w:ascii="Arial" w:hAnsi="Arial" w:cs="Arial"/>
                <w:color w:val="auto"/>
                <w:sz w:val="22"/>
                <w:szCs w:val="22"/>
              </w:rPr>
            </w:pPr>
            <w:r w:rsidRPr="00E85451">
              <w:rPr>
                <w:rFonts w:ascii="Arial" w:hAnsi="Arial" w:cs="Arial"/>
                <w:color w:val="auto"/>
                <w:sz w:val="22"/>
                <w:szCs w:val="22"/>
              </w:rPr>
              <w:t>IZVOR FINANCIRANJA</w:t>
            </w:r>
          </w:p>
        </w:tc>
        <w:tc>
          <w:tcPr>
            <w:tcW w:w="2150" w:type="dxa"/>
            <w:tcBorders>
              <w:top w:val="single" w:sz="8" w:space="0" w:color="auto"/>
              <w:left w:val="nil"/>
              <w:bottom w:val="single" w:sz="8" w:space="0" w:color="auto"/>
              <w:right w:val="single" w:sz="4" w:space="0" w:color="auto"/>
            </w:tcBorders>
            <w:shd w:val="clear" w:color="000000" w:fill="FFFFFF"/>
            <w:vAlign w:val="center"/>
            <w:hideMark/>
          </w:tcPr>
          <w:p w:rsidR="00D443FC" w:rsidRPr="00E85451" w:rsidRDefault="00D443FC" w:rsidP="00601741">
            <w:pPr>
              <w:widowControl/>
              <w:jc w:val="center"/>
              <w:rPr>
                <w:rFonts w:ascii="Arial" w:hAnsi="Arial" w:cs="Arial"/>
                <w:color w:val="auto"/>
                <w:sz w:val="22"/>
                <w:szCs w:val="22"/>
              </w:rPr>
            </w:pPr>
            <w:r w:rsidRPr="00E85451">
              <w:rPr>
                <w:rFonts w:ascii="Arial" w:hAnsi="Arial" w:cs="Arial"/>
                <w:color w:val="auto"/>
                <w:sz w:val="22"/>
                <w:szCs w:val="22"/>
              </w:rPr>
              <w:t>POSTOTAK SUFINANCIRANJA</w:t>
            </w:r>
          </w:p>
        </w:tc>
        <w:tc>
          <w:tcPr>
            <w:tcW w:w="1780" w:type="dxa"/>
            <w:tcBorders>
              <w:top w:val="single" w:sz="8" w:space="0" w:color="auto"/>
              <w:left w:val="nil"/>
              <w:bottom w:val="single" w:sz="8" w:space="0" w:color="auto"/>
              <w:right w:val="single" w:sz="4" w:space="0" w:color="auto"/>
            </w:tcBorders>
            <w:shd w:val="clear" w:color="000000" w:fill="FFFFFF"/>
            <w:vAlign w:val="center"/>
            <w:hideMark/>
          </w:tcPr>
          <w:p w:rsidR="00D443FC" w:rsidRPr="00E85451" w:rsidRDefault="00D443FC" w:rsidP="00601741">
            <w:pPr>
              <w:widowControl/>
              <w:jc w:val="center"/>
              <w:rPr>
                <w:rFonts w:ascii="Arial" w:hAnsi="Arial" w:cs="Arial"/>
                <w:color w:val="auto"/>
                <w:sz w:val="22"/>
                <w:szCs w:val="22"/>
              </w:rPr>
            </w:pPr>
            <w:r w:rsidRPr="00E85451">
              <w:rPr>
                <w:rFonts w:ascii="Arial" w:hAnsi="Arial" w:cs="Arial"/>
                <w:color w:val="auto"/>
                <w:sz w:val="22"/>
                <w:szCs w:val="22"/>
              </w:rPr>
              <w:t>UGOVORENI IZNOS 2014.</w:t>
            </w:r>
          </w:p>
        </w:tc>
        <w:tc>
          <w:tcPr>
            <w:tcW w:w="1740" w:type="dxa"/>
            <w:tcBorders>
              <w:top w:val="single" w:sz="8" w:space="0" w:color="auto"/>
              <w:left w:val="nil"/>
              <w:bottom w:val="single" w:sz="8" w:space="0" w:color="auto"/>
              <w:right w:val="single" w:sz="4" w:space="0" w:color="auto"/>
            </w:tcBorders>
            <w:shd w:val="clear" w:color="000000" w:fill="FFFFFF"/>
            <w:vAlign w:val="center"/>
            <w:hideMark/>
          </w:tcPr>
          <w:p w:rsidR="00D443FC" w:rsidRPr="00E85451" w:rsidRDefault="00D443FC" w:rsidP="00601741">
            <w:pPr>
              <w:widowControl/>
              <w:jc w:val="center"/>
              <w:rPr>
                <w:rFonts w:ascii="Arial" w:hAnsi="Arial" w:cs="Arial"/>
                <w:color w:val="auto"/>
                <w:sz w:val="22"/>
                <w:szCs w:val="22"/>
              </w:rPr>
            </w:pPr>
            <w:r w:rsidRPr="00E85451">
              <w:rPr>
                <w:rFonts w:ascii="Arial" w:hAnsi="Arial" w:cs="Arial"/>
                <w:color w:val="auto"/>
                <w:sz w:val="22"/>
                <w:szCs w:val="22"/>
              </w:rPr>
              <w:t>POTROŠNJA 2014.</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D443FC" w:rsidRPr="00E85451" w:rsidRDefault="00D443FC" w:rsidP="00601741">
            <w:pPr>
              <w:widowControl/>
              <w:jc w:val="center"/>
              <w:rPr>
                <w:rFonts w:ascii="Arial" w:hAnsi="Arial" w:cs="Arial"/>
                <w:color w:val="auto"/>
                <w:sz w:val="22"/>
                <w:szCs w:val="22"/>
              </w:rPr>
            </w:pPr>
            <w:r w:rsidRPr="00E85451">
              <w:rPr>
                <w:rFonts w:ascii="Arial" w:hAnsi="Arial" w:cs="Arial"/>
                <w:color w:val="auto"/>
                <w:sz w:val="22"/>
                <w:szCs w:val="22"/>
              </w:rPr>
              <w:t>POSTOTAK IZVRŠENOSTI</w:t>
            </w:r>
          </w:p>
        </w:tc>
      </w:tr>
      <w:tr w:rsidR="00E85451" w:rsidRPr="00E85451" w:rsidTr="00601741">
        <w:trPr>
          <w:trHeight w:val="300"/>
        </w:trPr>
        <w:tc>
          <w:tcPr>
            <w:tcW w:w="1951" w:type="dxa"/>
            <w:tcBorders>
              <w:top w:val="nil"/>
              <w:left w:val="single" w:sz="8" w:space="0" w:color="auto"/>
              <w:bottom w:val="single" w:sz="4" w:space="0" w:color="auto"/>
              <w:right w:val="single" w:sz="4" w:space="0" w:color="auto"/>
            </w:tcBorders>
            <w:shd w:val="clear" w:color="000000" w:fill="FFFFFF"/>
            <w:noWrap/>
            <w:vAlign w:val="bottom"/>
            <w:hideMark/>
          </w:tcPr>
          <w:p w:rsidR="00D443FC" w:rsidRPr="00E85451" w:rsidRDefault="00D443FC" w:rsidP="00601741">
            <w:pPr>
              <w:widowControl/>
              <w:rPr>
                <w:rFonts w:ascii="Arial" w:hAnsi="Arial" w:cs="Arial"/>
                <w:color w:val="auto"/>
                <w:sz w:val="22"/>
                <w:szCs w:val="22"/>
              </w:rPr>
            </w:pPr>
            <w:r w:rsidRPr="00E85451">
              <w:rPr>
                <w:rFonts w:ascii="Arial" w:hAnsi="Arial" w:cs="Arial"/>
                <w:color w:val="auto"/>
                <w:sz w:val="22"/>
                <w:szCs w:val="22"/>
              </w:rPr>
              <w:t>Izvor 12</w:t>
            </w:r>
          </w:p>
        </w:tc>
        <w:tc>
          <w:tcPr>
            <w:tcW w:w="2150" w:type="dxa"/>
            <w:tcBorders>
              <w:top w:val="nil"/>
              <w:left w:val="nil"/>
              <w:bottom w:val="single" w:sz="4" w:space="0" w:color="auto"/>
              <w:right w:val="single" w:sz="4" w:space="0" w:color="auto"/>
            </w:tcBorders>
            <w:shd w:val="clear" w:color="000000" w:fill="FFFFFF"/>
            <w:noWrap/>
            <w:vAlign w:val="bottom"/>
            <w:hideMark/>
          </w:tcPr>
          <w:p w:rsidR="00D443FC" w:rsidRPr="00E85451" w:rsidRDefault="00D443FC" w:rsidP="00601741">
            <w:pPr>
              <w:widowControl/>
              <w:jc w:val="right"/>
              <w:rPr>
                <w:rFonts w:ascii="Arial" w:hAnsi="Arial" w:cs="Arial"/>
                <w:color w:val="auto"/>
                <w:sz w:val="22"/>
                <w:szCs w:val="22"/>
              </w:rPr>
            </w:pPr>
            <w:r w:rsidRPr="00E85451">
              <w:rPr>
                <w:rFonts w:ascii="Arial" w:hAnsi="Arial" w:cs="Arial"/>
                <w:color w:val="auto"/>
                <w:sz w:val="22"/>
                <w:szCs w:val="22"/>
              </w:rPr>
              <w:t>10%</w:t>
            </w:r>
          </w:p>
        </w:tc>
        <w:tc>
          <w:tcPr>
            <w:tcW w:w="1780" w:type="dxa"/>
            <w:tcBorders>
              <w:top w:val="nil"/>
              <w:left w:val="nil"/>
              <w:bottom w:val="single" w:sz="4" w:space="0" w:color="auto"/>
              <w:right w:val="single" w:sz="4" w:space="0" w:color="auto"/>
            </w:tcBorders>
            <w:shd w:val="clear" w:color="000000" w:fill="FFFFFF"/>
            <w:noWrap/>
            <w:vAlign w:val="center"/>
            <w:hideMark/>
          </w:tcPr>
          <w:p w:rsidR="00D443FC" w:rsidRPr="00E85451" w:rsidRDefault="00D443FC" w:rsidP="00601741">
            <w:pPr>
              <w:widowControl/>
              <w:jc w:val="center"/>
              <w:rPr>
                <w:rFonts w:ascii="Arial" w:hAnsi="Arial" w:cs="Arial"/>
                <w:color w:val="auto"/>
                <w:sz w:val="22"/>
                <w:szCs w:val="22"/>
              </w:rPr>
            </w:pPr>
            <w:r w:rsidRPr="00E85451">
              <w:rPr>
                <w:rFonts w:ascii="Arial" w:hAnsi="Arial" w:cs="Arial"/>
                <w:color w:val="auto"/>
                <w:sz w:val="22"/>
                <w:szCs w:val="22"/>
              </w:rPr>
              <w:t>2.893,00 EUR</w:t>
            </w:r>
          </w:p>
        </w:tc>
        <w:tc>
          <w:tcPr>
            <w:tcW w:w="1740" w:type="dxa"/>
            <w:tcBorders>
              <w:top w:val="nil"/>
              <w:left w:val="nil"/>
              <w:bottom w:val="single" w:sz="4" w:space="0" w:color="auto"/>
              <w:right w:val="single" w:sz="4" w:space="0" w:color="auto"/>
            </w:tcBorders>
            <w:shd w:val="clear" w:color="000000" w:fill="FFFFFF"/>
            <w:noWrap/>
            <w:vAlign w:val="center"/>
            <w:hideMark/>
          </w:tcPr>
          <w:p w:rsidR="00D443FC" w:rsidRPr="00E85451" w:rsidRDefault="00D443FC" w:rsidP="00601741">
            <w:pPr>
              <w:widowControl/>
              <w:jc w:val="center"/>
              <w:rPr>
                <w:rFonts w:ascii="Arial" w:hAnsi="Arial" w:cs="Arial"/>
                <w:color w:val="auto"/>
                <w:sz w:val="22"/>
                <w:szCs w:val="22"/>
              </w:rPr>
            </w:pPr>
            <w:r w:rsidRPr="00E85451">
              <w:rPr>
                <w:rFonts w:ascii="Arial" w:hAnsi="Arial" w:cs="Arial"/>
                <w:color w:val="auto"/>
                <w:sz w:val="22"/>
                <w:szCs w:val="22"/>
              </w:rPr>
              <w:t>2.148,73 EUR</w:t>
            </w:r>
          </w:p>
        </w:tc>
        <w:tc>
          <w:tcPr>
            <w:tcW w:w="1701" w:type="dxa"/>
            <w:vMerge w:val="restart"/>
            <w:tcBorders>
              <w:top w:val="nil"/>
              <w:left w:val="single" w:sz="4" w:space="0" w:color="auto"/>
              <w:bottom w:val="nil"/>
              <w:right w:val="single" w:sz="8" w:space="0" w:color="auto"/>
            </w:tcBorders>
            <w:shd w:val="clear" w:color="000000" w:fill="FFFFFF"/>
            <w:noWrap/>
            <w:vAlign w:val="center"/>
            <w:hideMark/>
          </w:tcPr>
          <w:p w:rsidR="00D443FC" w:rsidRPr="00E85451" w:rsidRDefault="00D443FC" w:rsidP="00601741">
            <w:pPr>
              <w:widowControl/>
              <w:jc w:val="center"/>
              <w:rPr>
                <w:rFonts w:ascii="Arial" w:hAnsi="Arial" w:cs="Arial"/>
                <w:color w:val="auto"/>
                <w:sz w:val="22"/>
                <w:szCs w:val="22"/>
              </w:rPr>
            </w:pPr>
            <w:r w:rsidRPr="00E85451">
              <w:rPr>
                <w:rFonts w:ascii="Arial" w:hAnsi="Arial" w:cs="Arial"/>
                <w:color w:val="auto"/>
                <w:sz w:val="22"/>
                <w:szCs w:val="22"/>
              </w:rPr>
              <w:t> </w:t>
            </w:r>
          </w:p>
        </w:tc>
      </w:tr>
      <w:tr w:rsidR="00E85451" w:rsidRPr="00E85451" w:rsidTr="00601741">
        <w:trPr>
          <w:trHeight w:val="315"/>
        </w:trPr>
        <w:tc>
          <w:tcPr>
            <w:tcW w:w="1951" w:type="dxa"/>
            <w:tcBorders>
              <w:top w:val="nil"/>
              <w:left w:val="single" w:sz="8" w:space="0" w:color="auto"/>
              <w:bottom w:val="nil"/>
              <w:right w:val="single" w:sz="4" w:space="0" w:color="auto"/>
            </w:tcBorders>
            <w:shd w:val="clear" w:color="000000" w:fill="FFFFFF"/>
            <w:noWrap/>
            <w:vAlign w:val="bottom"/>
            <w:hideMark/>
          </w:tcPr>
          <w:p w:rsidR="00D443FC" w:rsidRPr="00E85451" w:rsidRDefault="00D443FC" w:rsidP="00601741">
            <w:pPr>
              <w:widowControl/>
              <w:rPr>
                <w:rFonts w:ascii="Arial" w:hAnsi="Arial" w:cs="Arial"/>
                <w:color w:val="auto"/>
                <w:sz w:val="22"/>
                <w:szCs w:val="22"/>
              </w:rPr>
            </w:pPr>
            <w:r w:rsidRPr="00E85451">
              <w:rPr>
                <w:rFonts w:ascii="Arial" w:hAnsi="Arial" w:cs="Arial"/>
                <w:color w:val="auto"/>
                <w:sz w:val="22"/>
                <w:szCs w:val="22"/>
              </w:rPr>
              <w:t>Izvor 51</w:t>
            </w:r>
          </w:p>
        </w:tc>
        <w:tc>
          <w:tcPr>
            <w:tcW w:w="2150" w:type="dxa"/>
            <w:tcBorders>
              <w:top w:val="nil"/>
              <w:left w:val="nil"/>
              <w:bottom w:val="nil"/>
              <w:right w:val="single" w:sz="4" w:space="0" w:color="auto"/>
            </w:tcBorders>
            <w:shd w:val="clear" w:color="000000" w:fill="FFFFFF"/>
            <w:noWrap/>
            <w:vAlign w:val="bottom"/>
            <w:hideMark/>
          </w:tcPr>
          <w:p w:rsidR="00D443FC" w:rsidRPr="00E85451" w:rsidRDefault="00D443FC" w:rsidP="00601741">
            <w:pPr>
              <w:widowControl/>
              <w:jc w:val="right"/>
              <w:rPr>
                <w:rFonts w:ascii="Arial" w:hAnsi="Arial" w:cs="Arial"/>
                <w:color w:val="auto"/>
                <w:sz w:val="22"/>
                <w:szCs w:val="22"/>
              </w:rPr>
            </w:pPr>
            <w:r w:rsidRPr="00E85451">
              <w:rPr>
                <w:rFonts w:ascii="Arial" w:hAnsi="Arial" w:cs="Arial"/>
                <w:color w:val="auto"/>
                <w:sz w:val="22"/>
                <w:szCs w:val="22"/>
              </w:rPr>
              <w:t>90%</w:t>
            </w:r>
          </w:p>
        </w:tc>
        <w:tc>
          <w:tcPr>
            <w:tcW w:w="1780" w:type="dxa"/>
            <w:tcBorders>
              <w:top w:val="nil"/>
              <w:left w:val="nil"/>
              <w:bottom w:val="nil"/>
              <w:right w:val="single" w:sz="4" w:space="0" w:color="auto"/>
            </w:tcBorders>
            <w:shd w:val="clear" w:color="000000" w:fill="FFFFFF"/>
            <w:noWrap/>
            <w:vAlign w:val="center"/>
            <w:hideMark/>
          </w:tcPr>
          <w:p w:rsidR="00D443FC" w:rsidRPr="00E85451" w:rsidRDefault="00D443FC" w:rsidP="00601741">
            <w:pPr>
              <w:widowControl/>
              <w:jc w:val="center"/>
              <w:rPr>
                <w:rFonts w:ascii="Arial" w:hAnsi="Arial" w:cs="Arial"/>
                <w:color w:val="auto"/>
                <w:sz w:val="22"/>
                <w:szCs w:val="22"/>
              </w:rPr>
            </w:pPr>
            <w:r w:rsidRPr="00E85451">
              <w:rPr>
                <w:rFonts w:ascii="Arial" w:hAnsi="Arial" w:cs="Arial"/>
                <w:color w:val="auto"/>
                <w:sz w:val="22"/>
                <w:szCs w:val="22"/>
              </w:rPr>
              <w:t>26.037,00 EUR</w:t>
            </w:r>
          </w:p>
        </w:tc>
        <w:tc>
          <w:tcPr>
            <w:tcW w:w="1740" w:type="dxa"/>
            <w:tcBorders>
              <w:top w:val="nil"/>
              <w:left w:val="nil"/>
              <w:bottom w:val="nil"/>
              <w:right w:val="single" w:sz="4" w:space="0" w:color="auto"/>
            </w:tcBorders>
            <w:shd w:val="clear" w:color="000000" w:fill="FFFFFF"/>
            <w:noWrap/>
            <w:vAlign w:val="center"/>
            <w:hideMark/>
          </w:tcPr>
          <w:p w:rsidR="00D443FC" w:rsidRPr="00E85451" w:rsidRDefault="00D443FC" w:rsidP="00601741">
            <w:pPr>
              <w:widowControl/>
              <w:jc w:val="center"/>
              <w:rPr>
                <w:rFonts w:ascii="Arial" w:hAnsi="Arial" w:cs="Arial"/>
                <w:color w:val="auto"/>
                <w:sz w:val="22"/>
                <w:szCs w:val="22"/>
              </w:rPr>
            </w:pPr>
            <w:r w:rsidRPr="00E85451">
              <w:rPr>
                <w:rFonts w:ascii="Arial" w:hAnsi="Arial" w:cs="Arial"/>
                <w:color w:val="auto"/>
                <w:sz w:val="22"/>
                <w:szCs w:val="22"/>
              </w:rPr>
              <w:t>19.338,61 EUR</w:t>
            </w:r>
          </w:p>
        </w:tc>
        <w:tc>
          <w:tcPr>
            <w:tcW w:w="1701" w:type="dxa"/>
            <w:vMerge/>
            <w:tcBorders>
              <w:top w:val="nil"/>
              <w:left w:val="single" w:sz="4" w:space="0" w:color="auto"/>
              <w:bottom w:val="nil"/>
              <w:right w:val="single" w:sz="8" w:space="0" w:color="auto"/>
            </w:tcBorders>
            <w:vAlign w:val="center"/>
            <w:hideMark/>
          </w:tcPr>
          <w:p w:rsidR="00D443FC" w:rsidRPr="00E85451" w:rsidRDefault="00D443FC" w:rsidP="00601741">
            <w:pPr>
              <w:widowControl/>
              <w:rPr>
                <w:rFonts w:ascii="Arial" w:hAnsi="Arial" w:cs="Arial"/>
                <w:color w:val="auto"/>
                <w:sz w:val="22"/>
                <w:szCs w:val="22"/>
              </w:rPr>
            </w:pPr>
          </w:p>
        </w:tc>
      </w:tr>
      <w:tr w:rsidR="00E85451" w:rsidRPr="00E85451" w:rsidTr="00601741">
        <w:trPr>
          <w:trHeight w:val="315"/>
        </w:trPr>
        <w:tc>
          <w:tcPr>
            <w:tcW w:w="4101" w:type="dxa"/>
            <w:gridSpan w:val="2"/>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D443FC" w:rsidRPr="00E85451" w:rsidRDefault="00D443FC" w:rsidP="00601741">
            <w:pPr>
              <w:widowControl/>
              <w:rPr>
                <w:rFonts w:ascii="Arial" w:hAnsi="Arial" w:cs="Arial"/>
                <w:color w:val="auto"/>
                <w:sz w:val="22"/>
                <w:szCs w:val="22"/>
              </w:rPr>
            </w:pPr>
            <w:r w:rsidRPr="00E85451">
              <w:rPr>
                <w:rFonts w:ascii="Arial" w:hAnsi="Arial" w:cs="Arial"/>
                <w:color w:val="auto"/>
                <w:sz w:val="22"/>
                <w:szCs w:val="22"/>
              </w:rPr>
              <w:t>UKUPNO</w:t>
            </w:r>
          </w:p>
        </w:tc>
        <w:tc>
          <w:tcPr>
            <w:tcW w:w="1780" w:type="dxa"/>
            <w:tcBorders>
              <w:top w:val="single" w:sz="8" w:space="0" w:color="auto"/>
              <w:left w:val="nil"/>
              <w:bottom w:val="single" w:sz="8" w:space="0" w:color="auto"/>
              <w:right w:val="single" w:sz="4" w:space="0" w:color="auto"/>
            </w:tcBorders>
            <w:shd w:val="clear" w:color="000000" w:fill="FFFFFF"/>
            <w:noWrap/>
            <w:vAlign w:val="center"/>
            <w:hideMark/>
          </w:tcPr>
          <w:p w:rsidR="00D443FC" w:rsidRPr="00E85451" w:rsidRDefault="00D443FC" w:rsidP="00601741">
            <w:pPr>
              <w:widowControl/>
              <w:jc w:val="center"/>
              <w:rPr>
                <w:rFonts w:ascii="Arial" w:hAnsi="Arial" w:cs="Arial"/>
                <w:b/>
                <w:bCs/>
                <w:color w:val="auto"/>
                <w:sz w:val="22"/>
                <w:szCs w:val="22"/>
              </w:rPr>
            </w:pPr>
            <w:r w:rsidRPr="00E85451">
              <w:rPr>
                <w:rFonts w:ascii="Arial" w:hAnsi="Arial" w:cs="Arial"/>
                <w:b/>
                <w:bCs/>
                <w:color w:val="auto"/>
                <w:sz w:val="22"/>
                <w:szCs w:val="22"/>
              </w:rPr>
              <w:t>28.930,00 EUR</w:t>
            </w:r>
          </w:p>
        </w:tc>
        <w:tc>
          <w:tcPr>
            <w:tcW w:w="1740" w:type="dxa"/>
            <w:tcBorders>
              <w:top w:val="single" w:sz="8" w:space="0" w:color="auto"/>
              <w:left w:val="nil"/>
              <w:bottom w:val="single" w:sz="8" w:space="0" w:color="auto"/>
              <w:right w:val="single" w:sz="4" w:space="0" w:color="auto"/>
            </w:tcBorders>
            <w:shd w:val="clear" w:color="000000" w:fill="FFFFFF"/>
            <w:noWrap/>
            <w:vAlign w:val="center"/>
            <w:hideMark/>
          </w:tcPr>
          <w:p w:rsidR="00D443FC" w:rsidRPr="00E85451" w:rsidRDefault="00D443FC" w:rsidP="00601741">
            <w:pPr>
              <w:widowControl/>
              <w:jc w:val="center"/>
              <w:rPr>
                <w:rFonts w:ascii="Arial" w:hAnsi="Arial" w:cs="Arial"/>
                <w:b/>
                <w:bCs/>
                <w:color w:val="auto"/>
                <w:sz w:val="22"/>
                <w:szCs w:val="22"/>
              </w:rPr>
            </w:pPr>
            <w:r w:rsidRPr="00E85451">
              <w:rPr>
                <w:rFonts w:ascii="Arial" w:hAnsi="Arial" w:cs="Arial"/>
                <w:b/>
                <w:bCs/>
                <w:color w:val="auto"/>
                <w:sz w:val="22"/>
                <w:szCs w:val="22"/>
              </w:rPr>
              <w:t>21.487,34 EUR</w:t>
            </w:r>
          </w:p>
        </w:tc>
        <w:tc>
          <w:tcPr>
            <w:tcW w:w="1701" w:type="dxa"/>
            <w:tcBorders>
              <w:top w:val="single" w:sz="8" w:space="0" w:color="auto"/>
              <w:left w:val="nil"/>
              <w:bottom w:val="single" w:sz="8" w:space="0" w:color="auto"/>
              <w:right w:val="single" w:sz="8" w:space="0" w:color="auto"/>
            </w:tcBorders>
            <w:shd w:val="clear" w:color="000000" w:fill="FFFFFF"/>
            <w:noWrap/>
            <w:vAlign w:val="center"/>
            <w:hideMark/>
          </w:tcPr>
          <w:p w:rsidR="00D443FC" w:rsidRPr="00E85451" w:rsidRDefault="00D443FC" w:rsidP="00601741">
            <w:pPr>
              <w:widowControl/>
              <w:jc w:val="center"/>
              <w:rPr>
                <w:rFonts w:ascii="Arial" w:hAnsi="Arial" w:cs="Arial"/>
                <w:b/>
                <w:bCs/>
                <w:color w:val="auto"/>
                <w:sz w:val="22"/>
                <w:szCs w:val="22"/>
              </w:rPr>
            </w:pPr>
            <w:r w:rsidRPr="00E85451">
              <w:rPr>
                <w:rFonts w:ascii="Arial" w:hAnsi="Arial" w:cs="Arial"/>
                <w:b/>
                <w:bCs/>
                <w:color w:val="auto"/>
                <w:sz w:val="22"/>
                <w:szCs w:val="22"/>
              </w:rPr>
              <w:t>74,27%</w:t>
            </w:r>
          </w:p>
        </w:tc>
      </w:tr>
    </w:tbl>
    <w:p w:rsidR="00DF110F" w:rsidRPr="00E85451" w:rsidRDefault="00DF110F" w:rsidP="00F74C0A">
      <w:pPr>
        <w:ind w:right="-154"/>
        <w:rPr>
          <w:rFonts w:ascii="Arial" w:hAnsi="Arial" w:cs="Arial"/>
          <w:color w:val="auto"/>
          <w:sz w:val="22"/>
          <w:szCs w:val="22"/>
        </w:rPr>
      </w:pPr>
    </w:p>
    <w:p w:rsidR="00D443FC" w:rsidRPr="00E85451" w:rsidRDefault="00D443FC" w:rsidP="00F74C0A">
      <w:pPr>
        <w:ind w:right="-154"/>
        <w:rPr>
          <w:rFonts w:ascii="Arial" w:hAnsi="Arial" w:cs="Arial"/>
          <w:color w:val="auto"/>
          <w:sz w:val="22"/>
          <w:szCs w:val="22"/>
        </w:rPr>
      </w:pPr>
    </w:p>
    <w:p w:rsidR="000701F6" w:rsidRPr="000F3158" w:rsidRDefault="00521887" w:rsidP="00601741">
      <w:pPr>
        <w:pStyle w:val="Heading3"/>
        <w:rPr>
          <w:rFonts w:ascii="Arial" w:hAnsi="Arial" w:cs="Arial"/>
          <w:color w:val="auto"/>
          <w:sz w:val="24"/>
          <w:szCs w:val="24"/>
        </w:rPr>
      </w:pPr>
      <w:bookmarkStart w:id="10" w:name="_Toc419192152"/>
      <w:r w:rsidRPr="000F3158">
        <w:rPr>
          <w:rFonts w:ascii="Arial" w:hAnsi="Arial" w:cs="Arial"/>
          <w:color w:val="auto"/>
          <w:sz w:val="24"/>
          <w:szCs w:val="24"/>
        </w:rPr>
        <w:t>2.1.2. Eurodesk</w:t>
      </w:r>
      <w:bookmarkEnd w:id="10"/>
      <w:r w:rsidRPr="000F3158">
        <w:rPr>
          <w:rFonts w:ascii="Arial" w:hAnsi="Arial" w:cs="Arial"/>
          <w:color w:val="auto"/>
          <w:sz w:val="24"/>
          <w:szCs w:val="24"/>
        </w:rPr>
        <w:t xml:space="preserve"> </w:t>
      </w:r>
    </w:p>
    <w:tbl>
      <w:tblPr>
        <w:tblW w:w="10205" w:type="dxa"/>
        <w:tblInd w:w="-478" w:type="dxa"/>
        <w:tblLayout w:type="fixed"/>
        <w:tblLook w:val="0600" w:firstRow="0" w:lastRow="0" w:firstColumn="0" w:lastColumn="0" w:noHBand="1" w:noVBand="1"/>
      </w:tblPr>
      <w:tblGrid>
        <w:gridCol w:w="6"/>
        <w:gridCol w:w="1836"/>
        <w:gridCol w:w="2262"/>
        <w:gridCol w:w="1779"/>
        <w:gridCol w:w="1913"/>
        <w:gridCol w:w="1759"/>
        <w:gridCol w:w="650"/>
      </w:tblGrid>
      <w:tr w:rsidR="00E85451" w:rsidRPr="00E85451" w:rsidTr="007A7132">
        <w:tc>
          <w:tcPr>
            <w:tcW w:w="1842" w:type="dxa"/>
            <w:gridSpan w:val="2"/>
            <w:tcMar>
              <w:top w:w="88" w:type="dxa"/>
              <w:left w:w="88" w:type="dxa"/>
              <w:bottom w:w="88" w:type="dxa"/>
              <w:right w:w="88" w:type="dxa"/>
            </w:tcMar>
          </w:tcPr>
          <w:p w:rsidR="000701F6" w:rsidRPr="00E85451" w:rsidRDefault="000701F6" w:rsidP="005F1ABB">
            <w:pPr>
              <w:ind w:right="-8"/>
              <w:rPr>
                <w:rFonts w:ascii="Arial" w:hAnsi="Arial" w:cs="Arial"/>
                <w:color w:val="auto"/>
                <w:sz w:val="22"/>
                <w:szCs w:val="22"/>
              </w:rPr>
            </w:pPr>
            <w:r w:rsidRPr="00E85451">
              <w:rPr>
                <w:rFonts w:ascii="Arial" w:eastAsia="Arial" w:hAnsi="Arial" w:cs="Arial"/>
                <w:color w:val="auto"/>
                <w:sz w:val="22"/>
                <w:szCs w:val="22"/>
              </w:rPr>
              <w:t>Ukratko o programu i ciljevima:</w:t>
            </w:r>
          </w:p>
        </w:tc>
        <w:tc>
          <w:tcPr>
            <w:tcW w:w="8363" w:type="dxa"/>
            <w:gridSpan w:val="5"/>
            <w:tcMar>
              <w:top w:w="88" w:type="dxa"/>
              <w:left w:w="88" w:type="dxa"/>
              <w:bottom w:w="88" w:type="dxa"/>
              <w:right w:w="88" w:type="dxa"/>
            </w:tcMar>
          </w:tcPr>
          <w:p w:rsidR="0018647F" w:rsidRPr="00E85451" w:rsidRDefault="008C2AC4" w:rsidP="007A7132">
            <w:pPr>
              <w:jc w:val="both"/>
              <w:rPr>
                <w:rFonts w:ascii="Arial" w:eastAsia="Arial" w:hAnsi="Arial" w:cs="Arial"/>
                <w:color w:val="auto"/>
                <w:sz w:val="22"/>
                <w:szCs w:val="22"/>
              </w:rPr>
            </w:pPr>
            <w:r w:rsidRPr="00E85451">
              <w:rPr>
                <w:rFonts w:ascii="Arial" w:eastAsia="Arial" w:hAnsi="Arial" w:cs="Arial"/>
                <w:color w:val="auto"/>
                <w:sz w:val="22"/>
                <w:szCs w:val="22"/>
              </w:rPr>
              <w:t>Eurodesk je besplatni info-servis Europske komisije kojemu je svrha pružiti mladima i svima koji rade s mladima kvalitetne informacije o europskim programima i politikama za mlade, s ciljem promicanja mobilnosti u svrhu učenja i usavršavanja. Eurodesk mrežu čine nacionalni centri iz 34 europske zemlje i preko 1200 lokalnih i regionalnih partnera – multiplikatora..</w:t>
            </w:r>
          </w:p>
          <w:p w:rsidR="000701F6" w:rsidRPr="00E85451" w:rsidRDefault="000701F6" w:rsidP="005F1ABB">
            <w:pPr>
              <w:ind w:right="-8"/>
              <w:jc w:val="both"/>
              <w:rPr>
                <w:rFonts w:ascii="Arial" w:hAnsi="Arial" w:cs="Arial"/>
                <w:b/>
                <w:color w:val="auto"/>
                <w:sz w:val="22"/>
                <w:szCs w:val="22"/>
                <w:highlight w:val="yellow"/>
              </w:rPr>
            </w:pPr>
          </w:p>
        </w:tc>
      </w:tr>
      <w:tr w:rsidR="00E85451" w:rsidRPr="00E85451" w:rsidTr="007A7132">
        <w:tc>
          <w:tcPr>
            <w:tcW w:w="1842" w:type="dxa"/>
            <w:gridSpan w:val="2"/>
            <w:tcMar>
              <w:top w:w="88" w:type="dxa"/>
              <w:left w:w="88" w:type="dxa"/>
              <w:bottom w:w="88" w:type="dxa"/>
              <w:right w:w="88" w:type="dxa"/>
            </w:tcMar>
          </w:tcPr>
          <w:p w:rsidR="0003513E" w:rsidRPr="00E85451" w:rsidRDefault="0003513E" w:rsidP="005F1ABB">
            <w:pPr>
              <w:ind w:right="-8"/>
              <w:rPr>
                <w:rFonts w:ascii="Arial" w:eastAsia="Arial" w:hAnsi="Arial" w:cs="Arial"/>
                <w:color w:val="auto"/>
                <w:sz w:val="22"/>
                <w:szCs w:val="22"/>
              </w:rPr>
            </w:pPr>
            <w:r w:rsidRPr="00E85451">
              <w:rPr>
                <w:rFonts w:ascii="Arial" w:eastAsia="Arial" w:hAnsi="Arial" w:cs="Arial"/>
                <w:color w:val="auto"/>
                <w:sz w:val="22"/>
                <w:szCs w:val="22"/>
              </w:rPr>
              <w:t>Pravna osnova</w:t>
            </w:r>
          </w:p>
        </w:tc>
        <w:tc>
          <w:tcPr>
            <w:tcW w:w="8363" w:type="dxa"/>
            <w:gridSpan w:val="5"/>
            <w:tcMar>
              <w:top w:w="88" w:type="dxa"/>
              <w:left w:w="88" w:type="dxa"/>
              <w:bottom w:w="88" w:type="dxa"/>
              <w:right w:w="88" w:type="dxa"/>
            </w:tcMar>
          </w:tcPr>
          <w:p w:rsidR="0003513E" w:rsidRPr="00E85451" w:rsidRDefault="00A0338C" w:rsidP="00A0338C">
            <w:pPr>
              <w:ind w:right="-8"/>
              <w:jc w:val="both"/>
              <w:rPr>
                <w:rFonts w:ascii="Arial" w:hAnsi="Arial" w:cs="Arial"/>
                <w:color w:val="auto"/>
                <w:sz w:val="22"/>
                <w:szCs w:val="22"/>
              </w:rPr>
            </w:pPr>
            <w:r w:rsidRPr="00E85451">
              <w:rPr>
                <w:rFonts w:ascii="Arial" w:hAnsi="Arial" w:cs="Arial"/>
                <w:color w:val="auto"/>
                <w:sz w:val="22"/>
                <w:szCs w:val="22"/>
              </w:rPr>
              <w:t>UREDBA (EU) br. 1288/2013 EUROPSKOG PARLAMENTA I VIJEĆA od 11. prosinca 2013. o uspostavi programa „Erasmus+”: programa Unije za obrazovanje, osposobljavanje, mlade i sport i stavljanju izvan snage odluka br. 1719/2006/EZ, 1720/2006/EZ i 1298/2008/EZ</w:t>
            </w:r>
          </w:p>
        </w:tc>
      </w:tr>
      <w:tr w:rsidR="00E85451" w:rsidRPr="00E85451" w:rsidTr="007A7132">
        <w:tc>
          <w:tcPr>
            <w:tcW w:w="1842" w:type="dxa"/>
            <w:gridSpan w:val="2"/>
            <w:tcMar>
              <w:top w:w="88" w:type="dxa"/>
              <w:left w:w="88" w:type="dxa"/>
              <w:bottom w:w="88" w:type="dxa"/>
              <w:right w:w="88" w:type="dxa"/>
            </w:tcMar>
          </w:tcPr>
          <w:p w:rsidR="000701F6" w:rsidRPr="00E85451" w:rsidRDefault="000701F6" w:rsidP="005F1ABB">
            <w:pPr>
              <w:ind w:right="-8"/>
              <w:jc w:val="both"/>
              <w:rPr>
                <w:rFonts w:ascii="Arial" w:hAnsi="Arial" w:cs="Arial"/>
                <w:color w:val="auto"/>
                <w:sz w:val="22"/>
                <w:szCs w:val="22"/>
              </w:rPr>
            </w:pPr>
            <w:r w:rsidRPr="00E85451">
              <w:rPr>
                <w:rFonts w:ascii="Arial" w:eastAsia="Arial" w:hAnsi="Arial" w:cs="Arial"/>
                <w:color w:val="auto"/>
                <w:sz w:val="22"/>
                <w:szCs w:val="22"/>
              </w:rPr>
              <w:t xml:space="preserve">Aktivnosti poduzete tijekom </w:t>
            </w:r>
            <w:r w:rsidRPr="00E85451">
              <w:rPr>
                <w:rFonts w:ascii="Arial" w:eastAsia="Arial" w:hAnsi="Arial" w:cs="Arial"/>
                <w:color w:val="auto"/>
                <w:sz w:val="22"/>
                <w:szCs w:val="22"/>
              </w:rPr>
              <w:lastRenderedPageBreak/>
              <w:t>2014.g.</w:t>
            </w:r>
          </w:p>
        </w:tc>
        <w:tc>
          <w:tcPr>
            <w:tcW w:w="8363" w:type="dxa"/>
            <w:gridSpan w:val="5"/>
            <w:tcMar>
              <w:top w:w="88" w:type="dxa"/>
              <w:left w:w="88" w:type="dxa"/>
              <w:bottom w:w="88" w:type="dxa"/>
              <w:right w:w="88" w:type="dxa"/>
            </w:tcMar>
          </w:tcPr>
          <w:p w:rsidR="0018647F" w:rsidRPr="00E85451" w:rsidRDefault="008C2AC4" w:rsidP="00860FAB">
            <w:pPr>
              <w:jc w:val="both"/>
              <w:rPr>
                <w:rFonts w:ascii="Arial" w:eastAsia="Arial" w:hAnsi="Arial" w:cs="Arial"/>
                <w:color w:val="auto"/>
                <w:sz w:val="22"/>
                <w:szCs w:val="22"/>
              </w:rPr>
            </w:pPr>
            <w:r w:rsidRPr="00E85451">
              <w:rPr>
                <w:rFonts w:ascii="Arial" w:eastAsia="Arial" w:hAnsi="Arial" w:cs="Arial"/>
                <w:color w:val="auto"/>
                <w:sz w:val="22"/>
                <w:szCs w:val="22"/>
              </w:rPr>
              <w:lastRenderedPageBreak/>
              <w:t xml:space="preserve">Tijekom 2014. godine Eurodesk centar informirao je i savjetovao mlade, osobe koje rade s mladima i organizacije mladih, o njihovim europskim mogućnostima, </w:t>
            </w:r>
            <w:r w:rsidRPr="00E85451">
              <w:rPr>
                <w:rFonts w:ascii="Arial" w:eastAsia="Arial" w:hAnsi="Arial" w:cs="Arial"/>
                <w:color w:val="auto"/>
                <w:sz w:val="22"/>
                <w:szCs w:val="22"/>
              </w:rPr>
              <w:lastRenderedPageBreak/>
              <w:t xml:space="preserve">odgovarajući na njihove upite putem elektronske pošte ili telefonski. Glavni alat za informiranje mladih je Europski portal za mlade koji je Europska komisija pokrenula u svibnju 2013. godine, a koji sadrži članke, novosti i događaje vezane uz 8 tema europske Strategije za mlade. Sadržaj je dostupan na 28 jezika te uključuje informacije za 34 europske zemlje, a Eurodesk mreža zadužena je za upravljanje sadržajem. Hrvatska Eurodesk mreža pridonijela je sadržaju s ukupno 309 objavljenih tekstova (članaka, novosti i događaja), na hrvatskom i engleskom jeziku. </w:t>
            </w:r>
          </w:p>
          <w:p w:rsidR="0018647F" w:rsidRPr="00E85451" w:rsidRDefault="0018647F" w:rsidP="0018647F">
            <w:pPr>
              <w:ind w:right="-8"/>
              <w:jc w:val="both"/>
              <w:rPr>
                <w:rFonts w:ascii="Arial" w:eastAsia="Arial" w:hAnsi="Arial" w:cs="Arial"/>
                <w:color w:val="auto"/>
                <w:sz w:val="22"/>
                <w:szCs w:val="22"/>
              </w:rPr>
            </w:pPr>
          </w:p>
          <w:p w:rsidR="0018647F" w:rsidRPr="00E85451" w:rsidRDefault="008C2AC4" w:rsidP="0018647F">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Nastavno na dobru praksu iz 2013. godine, ugovorena je suradnja između Agencije za mobilnost i programe EU i 11 organizacija koje djeluju kao multiplikatori Eurodeska. Suradnja je uključivala organizaciju informativnih događaja, kreiranje sadržaja za Europski portal za mlade te promidžbu programa i diseminaciju informacija vezanih uz mlade. U skladu s ugovorenim, multiplikatori su organizirali ukupno 39 aktivnosti vezanih uz neku od tema relevantnih za Eurodesk (mogućnosti za mobilnost u svrhu učenja i usavršavanja, politike za mlade i procesi donošenja odluka, Europski parlamentarni izbori, Erasmus+ i ostali europski programi), u 14 gradova u Hrvatskoj. Putem tih događaja informirano je preko 1400 osoba. </w:t>
            </w:r>
          </w:p>
          <w:p w:rsidR="0018647F" w:rsidRPr="00E85451" w:rsidRDefault="0018647F" w:rsidP="0018647F">
            <w:pPr>
              <w:ind w:right="-8"/>
              <w:jc w:val="both"/>
              <w:rPr>
                <w:rFonts w:ascii="Arial" w:eastAsia="Arial" w:hAnsi="Arial" w:cs="Arial"/>
                <w:color w:val="auto"/>
                <w:sz w:val="22"/>
                <w:szCs w:val="22"/>
              </w:rPr>
            </w:pPr>
          </w:p>
          <w:p w:rsidR="0018647F" w:rsidRPr="00E85451" w:rsidRDefault="008C2AC4" w:rsidP="0018647F">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Poseban fokus stavljen je na informiranje i podizanje svijesti mladih o važnosti Europskih parlamentarnih izbora te je u tu svrhu organizirana i promotivna kampanja putem društvenih medija, u travnju i svibnju. Druga kampanja pod nazivom </w:t>
            </w:r>
            <w:r w:rsidR="00D419FF" w:rsidRPr="00E85451">
              <w:rPr>
                <w:rFonts w:ascii="Arial" w:eastAsia="Arial" w:hAnsi="Arial" w:cs="Arial"/>
                <w:color w:val="auto"/>
                <w:sz w:val="22"/>
                <w:szCs w:val="22"/>
              </w:rPr>
              <w:t>„</w:t>
            </w:r>
            <w:r w:rsidRPr="00E85451">
              <w:rPr>
                <w:rFonts w:ascii="Arial" w:eastAsia="Arial" w:hAnsi="Arial" w:cs="Arial"/>
                <w:color w:val="auto"/>
                <w:sz w:val="22"/>
                <w:szCs w:val="22"/>
              </w:rPr>
              <w:t>Time to Move?</w:t>
            </w:r>
            <w:r w:rsidR="00D419FF" w:rsidRPr="00E85451">
              <w:rPr>
                <w:rFonts w:ascii="Arial" w:eastAsia="Arial" w:hAnsi="Arial" w:cs="Arial"/>
                <w:color w:val="auto"/>
                <w:sz w:val="22"/>
                <w:szCs w:val="22"/>
              </w:rPr>
              <w:t>“</w:t>
            </w:r>
            <w:r w:rsidRPr="00E85451">
              <w:rPr>
                <w:rFonts w:ascii="Arial" w:eastAsia="Arial" w:hAnsi="Arial" w:cs="Arial"/>
                <w:color w:val="auto"/>
                <w:sz w:val="22"/>
                <w:szCs w:val="22"/>
              </w:rPr>
              <w:t xml:space="preserve"> bila je namijenjena promidžbi aktivnosti i podizanju vidljivosti multiplikatora u Europi te je velik broj događanja organiziran u listopadu tim povodom.</w:t>
            </w:r>
          </w:p>
          <w:p w:rsidR="0018647F" w:rsidRPr="00E85451" w:rsidRDefault="0018647F" w:rsidP="0018647F">
            <w:pPr>
              <w:ind w:right="-8"/>
              <w:jc w:val="both"/>
              <w:rPr>
                <w:rFonts w:ascii="Arial" w:eastAsia="Arial" w:hAnsi="Arial" w:cs="Arial"/>
                <w:color w:val="auto"/>
                <w:sz w:val="22"/>
                <w:szCs w:val="22"/>
              </w:rPr>
            </w:pPr>
          </w:p>
          <w:p w:rsidR="0018647F" w:rsidRPr="00E85451" w:rsidRDefault="008C2AC4" w:rsidP="0018647F">
            <w:pPr>
              <w:ind w:right="-8"/>
              <w:jc w:val="both"/>
              <w:rPr>
                <w:rFonts w:ascii="Arial" w:eastAsia="Arial" w:hAnsi="Arial" w:cs="Arial"/>
                <w:color w:val="auto"/>
                <w:sz w:val="22"/>
                <w:szCs w:val="22"/>
              </w:rPr>
            </w:pPr>
            <w:r w:rsidRPr="00E85451">
              <w:rPr>
                <w:rFonts w:ascii="Arial" w:eastAsia="Arial" w:hAnsi="Arial" w:cs="Arial"/>
                <w:color w:val="auto"/>
                <w:sz w:val="22"/>
                <w:szCs w:val="22"/>
              </w:rPr>
              <w:t>Hrvatski Eurodesk centar uključio se i u novu inicijativu Eurodeska – izradu mrežnog informacijskog servisa nazvanog Last Minute Offers, putem kojeg će mladi moći pronaći konkretnu i provjerenu ponudu za sudjelovanje u međunarodnim projektima neformalnog obrazovanja. Ovaj servis bit će dostupan mladima od travnja 2015.</w:t>
            </w:r>
          </w:p>
          <w:p w:rsidR="0018647F" w:rsidRPr="00E85451" w:rsidRDefault="008C2AC4" w:rsidP="0018647F">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Djelatnica Eurodeska aktivno je sudjelovala u radu Nacionalne radne skupine za provedbu strukturiranog dijaloga </w:t>
            </w:r>
            <w:r w:rsidR="00D419FF" w:rsidRPr="00E85451">
              <w:rPr>
                <w:rFonts w:ascii="Arial" w:eastAsia="Arial" w:hAnsi="Arial" w:cs="Arial"/>
                <w:color w:val="auto"/>
                <w:sz w:val="22"/>
                <w:szCs w:val="22"/>
              </w:rPr>
              <w:t xml:space="preserve">pri ministarstvu nadležnom za mlade </w:t>
            </w:r>
            <w:r w:rsidRPr="00E85451">
              <w:rPr>
                <w:rFonts w:ascii="Arial" w:eastAsia="Arial" w:hAnsi="Arial" w:cs="Arial"/>
                <w:color w:val="auto"/>
                <w:sz w:val="22"/>
                <w:szCs w:val="22"/>
              </w:rPr>
              <w:t>te je bila uključena u definiranje pitanja za konzultacije s mladima, identificiranjem stručnjaka za pojedino relevantno područje rada radne skupine, pripremu plana rada prema Europskoj komisiji te provedbu redovnih aktivnosti. Eurodesk ima dodatnu ulogu u procesu strukturiranog dijaloga, na način da informira mlad</w:t>
            </w:r>
            <w:r w:rsidR="00D419FF" w:rsidRPr="00E85451">
              <w:rPr>
                <w:rFonts w:ascii="Arial" w:eastAsia="Arial" w:hAnsi="Arial" w:cs="Arial"/>
                <w:color w:val="auto"/>
                <w:sz w:val="22"/>
                <w:szCs w:val="22"/>
              </w:rPr>
              <w:t>e</w:t>
            </w:r>
            <w:r w:rsidRPr="00E85451">
              <w:rPr>
                <w:rFonts w:ascii="Arial" w:eastAsia="Arial" w:hAnsi="Arial" w:cs="Arial"/>
                <w:color w:val="auto"/>
                <w:sz w:val="22"/>
                <w:szCs w:val="22"/>
              </w:rPr>
              <w:t xml:space="preserve"> o mogućnostima za uključivanje u proces putem svih dostupnih kanala. Također, Eurodesk potiče organizacije da se uključe u proces i putem Ključne ak</w:t>
            </w:r>
            <w:r w:rsidR="00E72EA3" w:rsidRPr="00E85451">
              <w:rPr>
                <w:rFonts w:ascii="Arial" w:eastAsia="Arial" w:hAnsi="Arial" w:cs="Arial"/>
                <w:color w:val="auto"/>
                <w:sz w:val="22"/>
                <w:szCs w:val="22"/>
              </w:rPr>
              <w:t>tivnosti</w:t>
            </w:r>
            <w:r w:rsidRPr="00E85451">
              <w:rPr>
                <w:rFonts w:ascii="Arial" w:eastAsia="Arial" w:hAnsi="Arial" w:cs="Arial"/>
                <w:color w:val="auto"/>
                <w:sz w:val="22"/>
                <w:szCs w:val="22"/>
              </w:rPr>
              <w:t xml:space="preserve"> 3 </w:t>
            </w:r>
            <w:r w:rsidR="00E72EA3" w:rsidRPr="00E85451">
              <w:rPr>
                <w:rFonts w:ascii="Arial" w:eastAsia="Arial" w:hAnsi="Arial" w:cs="Arial"/>
                <w:color w:val="auto"/>
                <w:sz w:val="22"/>
                <w:szCs w:val="22"/>
              </w:rPr>
              <w:t xml:space="preserve">programa </w:t>
            </w:r>
            <w:r w:rsidRPr="00E85451">
              <w:rPr>
                <w:rFonts w:ascii="Arial" w:eastAsia="Arial" w:hAnsi="Arial" w:cs="Arial"/>
                <w:color w:val="auto"/>
                <w:sz w:val="22"/>
                <w:szCs w:val="22"/>
              </w:rPr>
              <w:t xml:space="preserve">Erasmus+, kroz koju je moguće ostvariti financijsku potporu za provedbu projekata. </w:t>
            </w:r>
          </w:p>
          <w:p w:rsidR="0018647F" w:rsidRPr="00E85451" w:rsidRDefault="0018647F" w:rsidP="0018647F">
            <w:pPr>
              <w:ind w:right="-8"/>
              <w:jc w:val="both"/>
              <w:rPr>
                <w:rFonts w:ascii="Arial" w:eastAsia="Arial" w:hAnsi="Arial" w:cs="Arial"/>
                <w:color w:val="auto"/>
                <w:sz w:val="22"/>
                <w:szCs w:val="22"/>
              </w:rPr>
            </w:pPr>
          </w:p>
          <w:p w:rsidR="0018647F" w:rsidRPr="00E85451" w:rsidRDefault="008C2AC4" w:rsidP="0018647F">
            <w:pPr>
              <w:ind w:right="-8"/>
              <w:jc w:val="both"/>
              <w:rPr>
                <w:rFonts w:ascii="Arial" w:eastAsia="Arial" w:hAnsi="Arial" w:cs="Arial"/>
                <w:color w:val="auto"/>
                <w:sz w:val="22"/>
                <w:szCs w:val="22"/>
              </w:rPr>
            </w:pPr>
            <w:r w:rsidRPr="00E85451">
              <w:rPr>
                <w:rFonts w:ascii="Arial" w:eastAsia="Arial" w:hAnsi="Arial" w:cs="Arial"/>
                <w:color w:val="auto"/>
                <w:sz w:val="22"/>
                <w:szCs w:val="22"/>
              </w:rPr>
              <w:t>Nacionalna Eurodesk mreža uključivala je u 2014. godini 11 organizacija, regionalnih i lokalnih info-centara za mlade te klubova za mlade, koji djeluju kao multiplikatori Eurodeska. Za te potrebe, predstavnici tih udruga dodatno su informirani i educirani putem nacionalnih sastanaka i međunarodnih seminara.</w:t>
            </w:r>
            <w:r w:rsidR="0018647F" w:rsidRPr="00E85451">
              <w:rPr>
                <w:rFonts w:ascii="Arial" w:eastAsia="Arial" w:hAnsi="Arial" w:cs="Arial"/>
                <w:color w:val="auto"/>
                <w:sz w:val="22"/>
                <w:szCs w:val="22"/>
              </w:rPr>
              <w:t xml:space="preserve"> </w:t>
            </w:r>
          </w:p>
          <w:p w:rsidR="000701F6" w:rsidRPr="00E85451" w:rsidRDefault="000701F6" w:rsidP="000701F6">
            <w:pPr>
              <w:ind w:right="-8"/>
              <w:jc w:val="both"/>
              <w:rPr>
                <w:rFonts w:ascii="Arial" w:hAnsi="Arial" w:cs="Arial"/>
                <w:color w:val="auto"/>
                <w:sz w:val="22"/>
                <w:szCs w:val="22"/>
              </w:rPr>
            </w:pPr>
          </w:p>
        </w:tc>
      </w:tr>
      <w:tr w:rsidR="00E85451" w:rsidRPr="00E85451" w:rsidTr="007A7132">
        <w:tc>
          <w:tcPr>
            <w:tcW w:w="1842" w:type="dxa"/>
            <w:gridSpan w:val="2"/>
            <w:tcMar>
              <w:top w:w="88" w:type="dxa"/>
              <w:left w:w="88" w:type="dxa"/>
              <w:bottom w:w="88" w:type="dxa"/>
              <w:right w:w="88" w:type="dxa"/>
            </w:tcMar>
          </w:tcPr>
          <w:p w:rsidR="000701F6" w:rsidRPr="00E85451" w:rsidRDefault="000701F6" w:rsidP="005F1ABB">
            <w:pPr>
              <w:ind w:right="-8"/>
              <w:rPr>
                <w:rFonts w:ascii="Arial" w:hAnsi="Arial" w:cs="Arial"/>
                <w:color w:val="auto"/>
                <w:sz w:val="22"/>
                <w:szCs w:val="22"/>
              </w:rPr>
            </w:pPr>
            <w:r w:rsidRPr="00E85451">
              <w:rPr>
                <w:rFonts w:ascii="Arial" w:eastAsia="Arial" w:hAnsi="Arial" w:cs="Arial"/>
                <w:color w:val="auto"/>
                <w:sz w:val="22"/>
                <w:szCs w:val="22"/>
              </w:rPr>
              <w:lastRenderedPageBreak/>
              <w:t>Odobreni proračun s omjerima financiranja</w:t>
            </w:r>
          </w:p>
        </w:tc>
        <w:tc>
          <w:tcPr>
            <w:tcW w:w="8363" w:type="dxa"/>
            <w:gridSpan w:val="5"/>
            <w:tcMar>
              <w:top w:w="88" w:type="dxa"/>
              <w:left w:w="88" w:type="dxa"/>
              <w:bottom w:w="88" w:type="dxa"/>
              <w:right w:w="88" w:type="dxa"/>
            </w:tcMar>
          </w:tcPr>
          <w:p w:rsidR="0018647F" w:rsidRPr="00E85451" w:rsidRDefault="0018647F" w:rsidP="0018647F">
            <w:pPr>
              <w:spacing w:before="100" w:after="100"/>
              <w:ind w:right="-8"/>
              <w:rPr>
                <w:rFonts w:ascii="Arial" w:eastAsia="Arial" w:hAnsi="Arial" w:cs="Arial"/>
                <w:color w:val="auto"/>
                <w:sz w:val="22"/>
                <w:szCs w:val="22"/>
              </w:rPr>
            </w:pPr>
            <w:r w:rsidRPr="00E85451">
              <w:rPr>
                <w:rFonts w:ascii="Arial" w:eastAsia="Arial" w:hAnsi="Arial" w:cs="Arial"/>
                <w:color w:val="auto"/>
                <w:sz w:val="22"/>
                <w:szCs w:val="22"/>
              </w:rPr>
              <w:t>24.246,80 EUR</w:t>
            </w:r>
            <w:r w:rsidR="008C2AC4" w:rsidRPr="00E85451">
              <w:rPr>
                <w:rFonts w:ascii="Arial" w:eastAsia="Arial" w:hAnsi="Arial" w:cs="Arial"/>
                <w:color w:val="auto"/>
                <w:sz w:val="22"/>
                <w:szCs w:val="22"/>
              </w:rPr>
              <w:t xml:space="preserve"> (60% iz sredstava Europske komisije, 40% nacionalno sufinanciranje)</w:t>
            </w:r>
          </w:p>
          <w:p w:rsidR="000701F6" w:rsidRPr="00E85451" w:rsidRDefault="000701F6" w:rsidP="0018647F">
            <w:pPr>
              <w:spacing w:before="100" w:after="100"/>
              <w:ind w:right="-8"/>
              <w:rPr>
                <w:rFonts w:ascii="Arial" w:hAnsi="Arial" w:cs="Arial"/>
                <w:color w:val="auto"/>
                <w:sz w:val="22"/>
                <w:szCs w:val="22"/>
                <w:highlight w:val="yellow"/>
              </w:rPr>
            </w:pPr>
          </w:p>
        </w:tc>
      </w:tr>
      <w:tr w:rsidR="00E85451" w:rsidRPr="00E85451" w:rsidTr="007A7132">
        <w:tc>
          <w:tcPr>
            <w:tcW w:w="1842" w:type="dxa"/>
            <w:gridSpan w:val="2"/>
            <w:tcMar>
              <w:top w:w="88" w:type="dxa"/>
              <w:left w:w="88" w:type="dxa"/>
              <w:bottom w:w="88" w:type="dxa"/>
              <w:right w:w="88" w:type="dxa"/>
            </w:tcMar>
          </w:tcPr>
          <w:p w:rsidR="000701F6" w:rsidRPr="00E85451" w:rsidRDefault="000701F6" w:rsidP="005F1ABB">
            <w:pPr>
              <w:ind w:right="-8"/>
              <w:rPr>
                <w:rFonts w:ascii="Arial" w:hAnsi="Arial" w:cs="Arial"/>
                <w:color w:val="auto"/>
                <w:sz w:val="22"/>
                <w:szCs w:val="22"/>
              </w:rPr>
            </w:pPr>
            <w:r w:rsidRPr="00E85451">
              <w:rPr>
                <w:rFonts w:ascii="Arial" w:eastAsia="Arial" w:hAnsi="Arial" w:cs="Arial"/>
                <w:color w:val="auto"/>
                <w:sz w:val="22"/>
                <w:szCs w:val="22"/>
              </w:rPr>
              <w:t xml:space="preserve">Ukupna iskorištenost sredstava u </w:t>
            </w:r>
            <w:r w:rsidRPr="00E85451">
              <w:rPr>
                <w:rFonts w:ascii="Arial" w:eastAsia="Arial" w:hAnsi="Arial" w:cs="Arial"/>
                <w:color w:val="auto"/>
                <w:sz w:val="22"/>
                <w:szCs w:val="22"/>
              </w:rPr>
              <w:lastRenderedPageBreak/>
              <w:t>postocima</w:t>
            </w:r>
          </w:p>
        </w:tc>
        <w:tc>
          <w:tcPr>
            <w:tcW w:w="8363" w:type="dxa"/>
            <w:gridSpan w:val="5"/>
            <w:tcMar>
              <w:top w:w="88" w:type="dxa"/>
              <w:left w:w="88" w:type="dxa"/>
              <w:bottom w:w="88" w:type="dxa"/>
              <w:right w:w="88" w:type="dxa"/>
            </w:tcMar>
          </w:tcPr>
          <w:p w:rsidR="000701F6" w:rsidRPr="00E85451" w:rsidRDefault="008C2AC4" w:rsidP="0018647F">
            <w:pPr>
              <w:ind w:right="-8"/>
              <w:jc w:val="both"/>
              <w:rPr>
                <w:rFonts w:ascii="Arial" w:hAnsi="Arial" w:cs="Arial"/>
                <w:color w:val="auto"/>
                <w:sz w:val="22"/>
                <w:szCs w:val="22"/>
                <w:highlight w:val="yellow"/>
              </w:rPr>
            </w:pPr>
            <w:r w:rsidRPr="00E85451">
              <w:rPr>
                <w:rFonts w:ascii="Arial" w:eastAsia="Arial" w:hAnsi="Arial" w:cs="Arial"/>
                <w:color w:val="auto"/>
                <w:sz w:val="22"/>
                <w:szCs w:val="22"/>
              </w:rPr>
              <w:lastRenderedPageBreak/>
              <w:t>85,23%</w:t>
            </w:r>
          </w:p>
        </w:tc>
      </w:tr>
      <w:tr w:rsidR="00E85451" w:rsidRPr="00E85451" w:rsidTr="007A7132">
        <w:tc>
          <w:tcPr>
            <w:tcW w:w="1842" w:type="dxa"/>
            <w:gridSpan w:val="2"/>
            <w:tcMar>
              <w:top w:w="88" w:type="dxa"/>
              <w:left w:w="88" w:type="dxa"/>
              <w:bottom w:w="88" w:type="dxa"/>
              <w:right w:w="88" w:type="dxa"/>
            </w:tcMar>
          </w:tcPr>
          <w:p w:rsidR="000701F6" w:rsidRPr="00E85451" w:rsidRDefault="000701F6" w:rsidP="005F1ABB">
            <w:pPr>
              <w:ind w:right="-8"/>
              <w:rPr>
                <w:rFonts w:ascii="Arial" w:hAnsi="Arial" w:cs="Arial"/>
                <w:color w:val="auto"/>
                <w:sz w:val="22"/>
                <w:szCs w:val="22"/>
              </w:rPr>
            </w:pPr>
            <w:r w:rsidRPr="00E85451">
              <w:rPr>
                <w:rFonts w:ascii="Arial" w:eastAsia="Arial" w:hAnsi="Arial" w:cs="Arial"/>
                <w:color w:val="auto"/>
                <w:sz w:val="22"/>
                <w:szCs w:val="22"/>
              </w:rPr>
              <w:lastRenderedPageBreak/>
              <w:t>Promotivne, informativne i potporne aktivnosti</w:t>
            </w:r>
          </w:p>
        </w:tc>
        <w:tc>
          <w:tcPr>
            <w:tcW w:w="8363" w:type="dxa"/>
            <w:gridSpan w:val="5"/>
            <w:tcMar>
              <w:top w:w="88" w:type="dxa"/>
              <w:left w:w="88" w:type="dxa"/>
              <w:bottom w:w="88" w:type="dxa"/>
              <w:right w:w="88" w:type="dxa"/>
            </w:tcMar>
          </w:tcPr>
          <w:p w:rsidR="0018647F" w:rsidRPr="00E85451" w:rsidRDefault="008C2AC4" w:rsidP="0018647F">
            <w:pPr>
              <w:ind w:right="-8"/>
              <w:jc w:val="both"/>
              <w:rPr>
                <w:rFonts w:ascii="Arial" w:hAnsi="Arial" w:cs="Arial"/>
                <w:color w:val="auto"/>
                <w:sz w:val="22"/>
                <w:szCs w:val="22"/>
              </w:rPr>
            </w:pPr>
            <w:r w:rsidRPr="00E85451">
              <w:rPr>
                <w:rFonts w:ascii="Arial" w:hAnsi="Arial" w:cs="Arial"/>
                <w:color w:val="auto"/>
                <w:sz w:val="22"/>
                <w:szCs w:val="22"/>
              </w:rPr>
              <w:t xml:space="preserve">Djelatnica Eurodeska sudjelovala je na 3 informativna događanja koja su organizirali Eurodesk multiplikatori – u Rijeci, Zagrebu i Kopačevu. Uz to, multiplikatori su organizirali još 36 različitih aktivnosti diljem zemlje. Eurodesk je prezentiran i na Sajmu stipendija i visokog obrazovanja u listopadu u Zagrebu. </w:t>
            </w:r>
          </w:p>
          <w:p w:rsidR="0018647F" w:rsidRPr="00E85451" w:rsidRDefault="0018647F" w:rsidP="005F1ABB">
            <w:pPr>
              <w:ind w:right="-8"/>
              <w:jc w:val="both"/>
              <w:rPr>
                <w:rFonts w:ascii="Arial" w:hAnsi="Arial" w:cs="Arial"/>
                <w:color w:val="auto"/>
                <w:sz w:val="22"/>
                <w:szCs w:val="22"/>
                <w:highlight w:val="yellow"/>
              </w:rPr>
            </w:pPr>
          </w:p>
        </w:tc>
      </w:tr>
      <w:tr w:rsidR="00E85451" w:rsidRPr="00E85451" w:rsidTr="007A7132">
        <w:trPr>
          <w:trHeight w:val="1299"/>
        </w:trPr>
        <w:tc>
          <w:tcPr>
            <w:tcW w:w="1842" w:type="dxa"/>
            <w:gridSpan w:val="2"/>
            <w:tcMar>
              <w:top w:w="88" w:type="dxa"/>
              <w:left w:w="88" w:type="dxa"/>
              <w:bottom w:w="88" w:type="dxa"/>
              <w:right w:w="88" w:type="dxa"/>
            </w:tcMar>
          </w:tcPr>
          <w:p w:rsidR="000701F6" w:rsidRPr="00E85451" w:rsidRDefault="000701F6" w:rsidP="005F1ABB">
            <w:pPr>
              <w:ind w:right="-8"/>
              <w:jc w:val="both"/>
              <w:rPr>
                <w:rFonts w:ascii="Arial" w:hAnsi="Arial" w:cs="Arial"/>
                <w:color w:val="auto"/>
                <w:sz w:val="22"/>
                <w:szCs w:val="22"/>
              </w:rPr>
            </w:pPr>
            <w:r w:rsidRPr="00E85451">
              <w:rPr>
                <w:rFonts w:ascii="Arial" w:eastAsia="Arial" w:hAnsi="Arial" w:cs="Arial"/>
                <w:color w:val="auto"/>
                <w:sz w:val="22"/>
                <w:szCs w:val="22"/>
              </w:rPr>
              <w:t>Informativni materijali</w:t>
            </w:r>
          </w:p>
        </w:tc>
        <w:tc>
          <w:tcPr>
            <w:tcW w:w="8363" w:type="dxa"/>
            <w:gridSpan w:val="5"/>
            <w:tcMar>
              <w:top w:w="88" w:type="dxa"/>
              <w:left w:w="88" w:type="dxa"/>
              <w:bottom w:w="88" w:type="dxa"/>
              <w:right w:w="88" w:type="dxa"/>
            </w:tcMar>
          </w:tcPr>
          <w:p w:rsidR="0018647F" w:rsidRPr="00E85451" w:rsidRDefault="008C2AC4" w:rsidP="0018647F">
            <w:pPr>
              <w:ind w:right="-8"/>
              <w:rPr>
                <w:rFonts w:ascii="Arial" w:eastAsia="Arial" w:hAnsi="Arial" w:cs="Arial"/>
                <w:color w:val="auto"/>
                <w:sz w:val="22"/>
                <w:szCs w:val="22"/>
              </w:rPr>
            </w:pPr>
            <w:r w:rsidRPr="00E85451">
              <w:rPr>
                <w:rFonts w:ascii="Arial" w:eastAsia="Arial" w:hAnsi="Arial" w:cs="Arial"/>
                <w:color w:val="auto"/>
                <w:sz w:val="22"/>
                <w:szCs w:val="22"/>
              </w:rPr>
              <w:t>- bilten - 3 izdanja,</w:t>
            </w:r>
          </w:p>
          <w:p w:rsidR="0018647F" w:rsidRPr="00E85451" w:rsidRDefault="008C2AC4" w:rsidP="0018647F">
            <w:pPr>
              <w:ind w:right="-8"/>
              <w:rPr>
                <w:rFonts w:ascii="Arial" w:eastAsia="Arial" w:hAnsi="Arial" w:cs="Arial"/>
                <w:color w:val="auto"/>
                <w:sz w:val="22"/>
                <w:szCs w:val="22"/>
              </w:rPr>
            </w:pPr>
            <w:r w:rsidRPr="00E85451">
              <w:rPr>
                <w:rFonts w:ascii="Arial" w:eastAsia="Arial" w:hAnsi="Arial" w:cs="Arial"/>
                <w:color w:val="auto"/>
                <w:sz w:val="22"/>
                <w:szCs w:val="22"/>
              </w:rPr>
              <w:t>- razglednica.</w:t>
            </w:r>
          </w:p>
          <w:p w:rsidR="000701F6" w:rsidRPr="00E85451" w:rsidRDefault="000701F6" w:rsidP="0018647F">
            <w:pPr>
              <w:ind w:right="-8"/>
              <w:rPr>
                <w:rFonts w:ascii="Arial" w:hAnsi="Arial" w:cs="Arial"/>
                <w:color w:val="auto"/>
                <w:sz w:val="22"/>
                <w:szCs w:val="22"/>
                <w:highlight w:val="yellow"/>
              </w:rPr>
            </w:pPr>
          </w:p>
        </w:tc>
      </w:tr>
      <w:tr w:rsidR="00E85451" w:rsidRPr="00E85451" w:rsidTr="007A7132">
        <w:tblPrEx>
          <w:tblLook w:val="04A0" w:firstRow="1" w:lastRow="0" w:firstColumn="1" w:lastColumn="0" w:noHBand="0" w:noVBand="1"/>
        </w:tblPrEx>
        <w:trPr>
          <w:gridBefore w:val="1"/>
          <w:gridAfter w:val="1"/>
          <w:wBefore w:w="6" w:type="dxa"/>
          <w:wAfter w:w="650" w:type="dxa"/>
          <w:trHeight w:val="795"/>
        </w:trPr>
        <w:tc>
          <w:tcPr>
            <w:tcW w:w="1836"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18647F" w:rsidRPr="00E85451" w:rsidRDefault="0018647F" w:rsidP="0018647F">
            <w:pPr>
              <w:widowControl/>
              <w:jc w:val="center"/>
              <w:rPr>
                <w:rFonts w:ascii="Arial" w:hAnsi="Arial" w:cs="Arial"/>
                <w:color w:val="auto"/>
                <w:sz w:val="22"/>
                <w:szCs w:val="22"/>
              </w:rPr>
            </w:pPr>
            <w:r w:rsidRPr="00E85451">
              <w:rPr>
                <w:rFonts w:ascii="Arial" w:hAnsi="Arial" w:cs="Arial"/>
                <w:color w:val="auto"/>
                <w:sz w:val="22"/>
                <w:szCs w:val="22"/>
              </w:rPr>
              <w:t>IZVOR FINANCIRANJA</w:t>
            </w:r>
          </w:p>
        </w:tc>
        <w:tc>
          <w:tcPr>
            <w:tcW w:w="2262" w:type="dxa"/>
            <w:tcBorders>
              <w:top w:val="single" w:sz="8" w:space="0" w:color="auto"/>
              <w:left w:val="nil"/>
              <w:bottom w:val="single" w:sz="8" w:space="0" w:color="auto"/>
              <w:right w:val="single" w:sz="4" w:space="0" w:color="auto"/>
            </w:tcBorders>
            <w:shd w:val="clear" w:color="000000" w:fill="FFFFFF"/>
            <w:vAlign w:val="center"/>
            <w:hideMark/>
          </w:tcPr>
          <w:p w:rsidR="0018647F" w:rsidRPr="00E85451" w:rsidRDefault="0018647F" w:rsidP="0018647F">
            <w:pPr>
              <w:widowControl/>
              <w:jc w:val="center"/>
              <w:rPr>
                <w:rFonts w:ascii="Arial" w:hAnsi="Arial" w:cs="Arial"/>
                <w:color w:val="auto"/>
                <w:sz w:val="22"/>
                <w:szCs w:val="22"/>
              </w:rPr>
            </w:pPr>
            <w:r w:rsidRPr="00E85451">
              <w:rPr>
                <w:rFonts w:ascii="Arial" w:hAnsi="Arial" w:cs="Arial"/>
                <w:color w:val="auto"/>
                <w:sz w:val="22"/>
                <w:szCs w:val="22"/>
              </w:rPr>
              <w:t>POSTOTAK SUFINANCIRANJA</w:t>
            </w:r>
          </w:p>
        </w:tc>
        <w:tc>
          <w:tcPr>
            <w:tcW w:w="1779" w:type="dxa"/>
            <w:tcBorders>
              <w:top w:val="single" w:sz="8" w:space="0" w:color="auto"/>
              <w:left w:val="nil"/>
              <w:bottom w:val="single" w:sz="8" w:space="0" w:color="auto"/>
              <w:right w:val="single" w:sz="4" w:space="0" w:color="auto"/>
            </w:tcBorders>
            <w:shd w:val="clear" w:color="000000" w:fill="FFFFFF"/>
            <w:vAlign w:val="center"/>
            <w:hideMark/>
          </w:tcPr>
          <w:p w:rsidR="0018647F" w:rsidRPr="00E85451" w:rsidRDefault="0018647F" w:rsidP="0018647F">
            <w:pPr>
              <w:widowControl/>
              <w:jc w:val="center"/>
              <w:rPr>
                <w:rFonts w:ascii="Arial" w:hAnsi="Arial" w:cs="Arial"/>
                <w:color w:val="auto"/>
                <w:sz w:val="22"/>
                <w:szCs w:val="22"/>
              </w:rPr>
            </w:pPr>
            <w:r w:rsidRPr="00E85451">
              <w:rPr>
                <w:rFonts w:ascii="Arial" w:hAnsi="Arial" w:cs="Arial"/>
                <w:color w:val="auto"/>
                <w:sz w:val="22"/>
                <w:szCs w:val="22"/>
              </w:rPr>
              <w:t>UGOVORENI IZNOS 2014.</w:t>
            </w:r>
          </w:p>
        </w:tc>
        <w:tc>
          <w:tcPr>
            <w:tcW w:w="1913" w:type="dxa"/>
            <w:tcBorders>
              <w:top w:val="single" w:sz="8" w:space="0" w:color="auto"/>
              <w:left w:val="nil"/>
              <w:bottom w:val="single" w:sz="8" w:space="0" w:color="auto"/>
              <w:right w:val="single" w:sz="4" w:space="0" w:color="auto"/>
            </w:tcBorders>
            <w:shd w:val="clear" w:color="000000" w:fill="FFFFFF"/>
            <w:vAlign w:val="center"/>
            <w:hideMark/>
          </w:tcPr>
          <w:p w:rsidR="0018647F" w:rsidRPr="00E85451" w:rsidRDefault="0018647F" w:rsidP="0018647F">
            <w:pPr>
              <w:widowControl/>
              <w:jc w:val="center"/>
              <w:rPr>
                <w:rFonts w:ascii="Arial" w:hAnsi="Arial" w:cs="Arial"/>
                <w:color w:val="auto"/>
                <w:sz w:val="22"/>
                <w:szCs w:val="22"/>
              </w:rPr>
            </w:pPr>
            <w:r w:rsidRPr="00E85451">
              <w:rPr>
                <w:rFonts w:ascii="Arial" w:hAnsi="Arial" w:cs="Arial"/>
                <w:color w:val="auto"/>
                <w:sz w:val="22"/>
                <w:szCs w:val="22"/>
              </w:rPr>
              <w:t>POTROŠNJA 2014.</w:t>
            </w:r>
          </w:p>
        </w:tc>
        <w:tc>
          <w:tcPr>
            <w:tcW w:w="1759" w:type="dxa"/>
            <w:tcBorders>
              <w:top w:val="single" w:sz="8" w:space="0" w:color="auto"/>
              <w:left w:val="nil"/>
              <w:bottom w:val="single" w:sz="8" w:space="0" w:color="auto"/>
              <w:right w:val="single" w:sz="8" w:space="0" w:color="auto"/>
            </w:tcBorders>
            <w:shd w:val="clear" w:color="000000" w:fill="FFFFFF"/>
            <w:vAlign w:val="center"/>
            <w:hideMark/>
          </w:tcPr>
          <w:p w:rsidR="0018647F" w:rsidRPr="00E85451" w:rsidRDefault="0018647F" w:rsidP="0018647F">
            <w:pPr>
              <w:widowControl/>
              <w:jc w:val="center"/>
              <w:rPr>
                <w:rFonts w:ascii="Arial" w:hAnsi="Arial" w:cs="Arial"/>
                <w:color w:val="auto"/>
                <w:sz w:val="22"/>
                <w:szCs w:val="22"/>
              </w:rPr>
            </w:pPr>
            <w:r w:rsidRPr="00E85451">
              <w:rPr>
                <w:rFonts w:ascii="Arial" w:hAnsi="Arial" w:cs="Arial"/>
                <w:color w:val="auto"/>
                <w:sz w:val="22"/>
                <w:szCs w:val="22"/>
              </w:rPr>
              <w:t>POSTOTAK IZVRŠENOSTI</w:t>
            </w:r>
          </w:p>
        </w:tc>
      </w:tr>
      <w:tr w:rsidR="00E85451" w:rsidRPr="00E85451" w:rsidTr="007A7132">
        <w:tblPrEx>
          <w:tblLook w:val="04A0" w:firstRow="1" w:lastRow="0" w:firstColumn="1" w:lastColumn="0" w:noHBand="0" w:noVBand="1"/>
        </w:tblPrEx>
        <w:trPr>
          <w:gridBefore w:val="1"/>
          <w:gridAfter w:val="1"/>
          <w:wBefore w:w="6" w:type="dxa"/>
          <w:wAfter w:w="650" w:type="dxa"/>
          <w:trHeight w:val="300"/>
        </w:trPr>
        <w:tc>
          <w:tcPr>
            <w:tcW w:w="1836" w:type="dxa"/>
            <w:tcBorders>
              <w:top w:val="nil"/>
              <w:left w:val="single" w:sz="8" w:space="0" w:color="auto"/>
              <w:bottom w:val="single" w:sz="4" w:space="0" w:color="auto"/>
              <w:right w:val="single" w:sz="4" w:space="0" w:color="auto"/>
            </w:tcBorders>
            <w:shd w:val="clear" w:color="000000" w:fill="FFFFFF"/>
            <w:noWrap/>
            <w:vAlign w:val="bottom"/>
            <w:hideMark/>
          </w:tcPr>
          <w:p w:rsidR="0018647F" w:rsidRPr="00E85451" w:rsidRDefault="0018647F" w:rsidP="0018647F">
            <w:pPr>
              <w:widowControl/>
              <w:rPr>
                <w:rFonts w:ascii="Arial" w:hAnsi="Arial" w:cs="Arial"/>
                <w:color w:val="auto"/>
                <w:sz w:val="22"/>
                <w:szCs w:val="22"/>
              </w:rPr>
            </w:pPr>
            <w:r w:rsidRPr="00E85451">
              <w:rPr>
                <w:rFonts w:ascii="Arial" w:hAnsi="Arial" w:cs="Arial"/>
                <w:color w:val="auto"/>
                <w:sz w:val="22"/>
                <w:szCs w:val="22"/>
              </w:rPr>
              <w:t>Izvor 12</w:t>
            </w:r>
          </w:p>
        </w:tc>
        <w:tc>
          <w:tcPr>
            <w:tcW w:w="2262" w:type="dxa"/>
            <w:tcBorders>
              <w:top w:val="nil"/>
              <w:left w:val="nil"/>
              <w:bottom w:val="single" w:sz="4" w:space="0" w:color="auto"/>
              <w:right w:val="single" w:sz="4" w:space="0" w:color="auto"/>
            </w:tcBorders>
            <w:shd w:val="clear" w:color="000000" w:fill="FFFFFF"/>
            <w:noWrap/>
            <w:vAlign w:val="bottom"/>
            <w:hideMark/>
          </w:tcPr>
          <w:p w:rsidR="0018647F" w:rsidRPr="00E85451" w:rsidRDefault="0018647F" w:rsidP="0018647F">
            <w:pPr>
              <w:widowControl/>
              <w:jc w:val="right"/>
              <w:rPr>
                <w:rFonts w:ascii="Arial" w:hAnsi="Arial" w:cs="Arial"/>
                <w:color w:val="auto"/>
                <w:sz w:val="22"/>
                <w:szCs w:val="22"/>
              </w:rPr>
            </w:pPr>
            <w:r w:rsidRPr="00E85451">
              <w:rPr>
                <w:rFonts w:ascii="Arial" w:hAnsi="Arial" w:cs="Arial"/>
                <w:color w:val="auto"/>
                <w:sz w:val="22"/>
                <w:szCs w:val="22"/>
              </w:rPr>
              <w:t>40%</w:t>
            </w:r>
          </w:p>
        </w:tc>
        <w:tc>
          <w:tcPr>
            <w:tcW w:w="1779" w:type="dxa"/>
            <w:tcBorders>
              <w:top w:val="nil"/>
              <w:left w:val="nil"/>
              <w:bottom w:val="single" w:sz="4" w:space="0" w:color="auto"/>
              <w:right w:val="single" w:sz="4" w:space="0" w:color="auto"/>
            </w:tcBorders>
            <w:shd w:val="clear" w:color="000000" w:fill="FFFFFF"/>
            <w:noWrap/>
            <w:vAlign w:val="center"/>
            <w:hideMark/>
          </w:tcPr>
          <w:p w:rsidR="0018647F" w:rsidRPr="00E85451" w:rsidRDefault="0018647F" w:rsidP="0018647F">
            <w:pPr>
              <w:widowControl/>
              <w:jc w:val="center"/>
              <w:rPr>
                <w:rFonts w:ascii="Arial" w:hAnsi="Arial" w:cs="Arial"/>
                <w:color w:val="auto"/>
                <w:sz w:val="22"/>
                <w:szCs w:val="22"/>
              </w:rPr>
            </w:pPr>
            <w:r w:rsidRPr="00E85451">
              <w:rPr>
                <w:rFonts w:ascii="Arial" w:hAnsi="Arial" w:cs="Arial"/>
                <w:color w:val="auto"/>
                <w:sz w:val="22"/>
                <w:szCs w:val="22"/>
              </w:rPr>
              <w:t>9.698,72 EUR</w:t>
            </w:r>
          </w:p>
        </w:tc>
        <w:tc>
          <w:tcPr>
            <w:tcW w:w="1913" w:type="dxa"/>
            <w:tcBorders>
              <w:top w:val="nil"/>
              <w:left w:val="nil"/>
              <w:bottom w:val="single" w:sz="4" w:space="0" w:color="auto"/>
              <w:right w:val="single" w:sz="4" w:space="0" w:color="auto"/>
            </w:tcBorders>
            <w:shd w:val="clear" w:color="000000" w:fill="FFFFFF"/>
            <w:noWrap/>
            <w:vAlign w:val="center"/>
            <w:hideMark/>
          </w:tcPr>
          <w:p w:rsidR="0018647F" w:rsidRPr="00E85451" w:rsidRDefault="0018647F" w:rsidP="0018647F">
            <w:pPr>
              <w:widowControl/>
              <w:jc w:val="center"/>
              <w:rPr>
                <w:rFonts w:ascii="Arial" w:hAnsi="Arial" w:cs="Arial"/>
                <w:color w:val="auto"/>
                <w:sz w:val="22"/>
                <w:szCs w:val="22"/>
              </w:rPr>
            </w:pPr>
            <w:r w:rsidRPr="00E85451">
              <w:rPr>
                <w:rFonts w:ascii="Arial" w:hAnsi="Arial" w:cs="Arial"/>
                <w:color w:val="auto"/>
                <w:sz w:val="22"/>
                <w:szCs w:val="22"/>
              </w:rPr>
              <w:t>8.266,15 EUR</w:t>
            </w:r>
          </w:p>
        </w:tc>
        <w:tc>
          <w:tcPr>
            <w:tcW w:w="1759" w:type="dxa"/>
            <w:vMerge w:val="restart"/>
            <w:tcBorders>
              <w:top w:val="nil"/>
              <w:left w:val="single" w:sz="4" w:space="0" w:color="auto"/>
              <w:bottom w:val="nil"/>
              <w:right w:val="single" w:sz="8" w:space="0" w:color="auto"/>
            </w:tcBorders>
            <w:shd w:val="clear" w:color="000000" w:fill="FFFFFF"/>
            <w:noWrap/>
            <w:vAlign w:val="center"/>
            <w:hideMark/>
          </w:tcPr>
          <w:p w:rsidR="0018647F" w:rsidRPr="00E85451" w:rsidRDefault="0018647F" w:rsidP="0018647F">
            <w:pPr>
              <w:widowControl/>
              <w:jc w:val="center"/>
              <w:rPr>
                <w:rFonts w:ascii="Arial" w:hAnsi="Arial" w:cs="Arial"/>
                <w:color w:val="auto"/>
                <w:sz w:val="22"/>
                <w:szCs w:val="22"/>
              </w:rPr>
            </w:pPr>
            <w:r w:rsidRPr="00E85451">
              <w:rPr>
                <w:rFonts w:ascii="Arial" w:hAnsi="Arial" w:cs="Arial"/>
                <w:color w:val="auto"/>
                <w:sz w:val="22"/>
                <w:szCs w:val="22"/>
              </w:rPr>
              <w:t> </w:t>
            </w:r>
          </w:p>
        </w:tc>
      </w:tr>
      <w:tr w:rsidR="00E85451" w:rsidRPr="00E85451" w:rsidTr="007A7132">
        <w:tblPrEx>
          <w:tblLook w:val="04A0" w:firstRow="1" w:lastRow="0" w:firstColumn="1" w:lastColumn="0" w:noHBand="0" w:noVBand="1"/>
        </w:tblPrEx>
        <w:trPr>
          <w:gridBefore w:val="1"/>
          <w:gridAfter w:val="1"/>
          <w:wBefore w:w="6" w:type="dxa"/>
          <w:wAfter w:w="650" w:type="dxa"/>
          <w:trHeight w:val="315"/>
        </w:trPr>
        <w:tc>
          <w:tcPr>
            <w:tcW w:w="1836" w:type="dxa"/>
            <w:tcBorders>
              <w:top w:val="nil"/>
              <w:left w:val="single" w:sz="8" w:space="0" w:color="auto"/>
              <w:bottom w:val="nil"/>
              <w:right w:val="single" w:sz="4" w:space="0" w:color="auto"/>
            </w:tcBorders>
            <w:shd w:val="clear" w:color="000000" w:fill="FFFFFF"/>
            <w:noWrap/>
            <w:vAlign w:val="bottom"/>
            <w:hideMark/>
          </w:tcPr>
          <w:p w:rsidR="0018647F" w:rsidRPr="00E85451" w:rsidRDefault="0018647F" w:rsidP="0018647F">
            <w:pPr>
              <w:widowControl/>
              <w:rPr>
                <w:rFonts w:ascii="Arial" w:hAnsi="Arial" w:cs="Arial"/>
                <w:color w:val="auto"/>
                <w:sz w:val="22"/>
                <w:szCs w:val="22"/>
              </w:rPr>
            </w:pPr>
            <w:r w:rsidRPr="00E85451">
              <w:rPr>
                <w:rFonts w:ascii="Arial" w:hAnsi="Arial" w:cs="Arial"/>
                <w:color w:val="auto"/>
                <w:sz w:val="22"/>
                <w:szCs w:val="22"/>
              </w:rPr>
              <w:t>Izvor 51</w:t>
            </w:r>
          </w:p>
        </w:tc>
        <w:tc>
          <w:tcPr>
            <w:tcW w:w="2262" w:type="dxa"/>
            <w:tcBorders>
              <w:top w:val="nil"/>
              <w:left w:val="nil"/>
              <w:bottom w:val="nil"/>
              <w:right w:val="single" w:sz="4" w:space="0" w:color="auto"/>
            </w:tcBorders>
            <w:shd w:val="clear" w:color="000000" w:fill="FFFFFF"/>
            <w:noWrap/>
            <w:vAlign w:val="bottom"/>
            <w:hideMark/>
          </w:tcPr>
          <w:p w:rsidR="0018647F" w:rsidRPr="00E85451" w:rsidRDefault="0018647F" w:rsidP="0018647F">
            <w:pPr>
              <w:widowControl/>
              <w:jc w:val="right"/>
              <w:rPr>
                <w:rFonts w:ascii="Arial" w:hAnsi="Arial" w:cs="Arial"/>
                <w:color w:val="auto"/>
                <w:sz w:val="22"/>
                <w:szCs w:val="22"/>
              </w:rPr>
            </w:pPr>
            <w:r w:rsidRPr="00E85451">
              <w:rPr>
                <w:rFonts w:ascii="Arial" w:hAnsi="Arial" w:cs="Arial"/>
                <w:color w:val="auto"/>
                <w:sz w:val="22"/>
                <w:szCs w:val="22"/>
              </w:rPr>
              <w:t>60%</w:t>
            </w:r>
          </w:p>
        </w:tc>
        <w:tc>
          <w:tcPr>
            <w:tcW w:w="1779" w:type="dxa"/>
            <w:tcBorders>
              <w:top w:val="nil"/>
              <w:left w:val="nil"/>
              <w:bottom w:val="nil"/>
              <w:right w:val="single" w:sz="4" w:space="0" w:color="auto"/>
            </w:tcBorders>
            <w:shd w:val="clear" w:color="000000" w:fill="FFFFFF"/>
            <w:noWrap/>
            <w:vAlign w:val="center"/>
            <w:hideMark/>
          </w:tcPr>
          <w:p w:rsidR="0018647F" w:rsidRPr="00E85451" w:rsidRDefault="0018647F" w:rsidP="0018647F">
            <w:pPr>
              <w:widowControl/>
              <w:jc w:val="center"/>
              <w:rPr>
                <w:rFonts w:ascii="Arial" w:hAnsi="Arial" w:cs="Arial"/>
                <w:color w:val="auto"/>
                <w:sz w:val="22"/>
                <w:szCs w:val="22"/>
              </w:rPr>
            </w:pPr>
            <w:r w:rsidRPr="00E85451">
              <w:rPr>
                <w:rFonts w:ascii="Arial" w:hAnsi="Arial" w:cs="Arial"/>
                <w:color w:val="auto"/>
                <w:sz w:val="22"/>
                <w:szCs w:val="22"/>
              </w:rPr>
              <w:t>14.548,08 EUR</w:t>
            </w:r>
          </w:p>
        </w:tc>
        <w:tc>
          <w:tcPr>
            <w:tcW w:w="1913" w:type="dxa"/>
            <w:tcBorders>
              <w:top w:val="nil"/>
              <w:left w:val="nil"/>
              <w:bottom w:val="nil"/>
              <w:right w:val="single" w:sz="4" w:space="0" w:color="auto"/>
            </w:tcBorders>
            <w:shd w:val="clear" w:color="000000" w:fill="FFFFFF"/>
            <w:noWrap/>
            <w:vAlign w:val="center"/>
            <w:hideMark/>
          </w:tcPr>
          <w:p w:rsidR="0018647F" w:rsidRPr="00E85451" w:rsidRDefault="0018647F" w:rsidP="0018647F">
            <w:pPr>
              <w:widowControl/>
              <w:jc w:val="center"/>
              <w:rPr>
                <w:rFonts w:ascii="Arial" w:hAnsi="Arial" w:cs="Arial"/>
                <w:color w:val="auto"/>
                <w:sz w:val="22"/>
                <w:szCs w:val="22"/>
              </w:rPr>
            </w:pPr>
            <w:r w:rsidRPr="00E85451">
              <w:rPr>
                <w:rFonts w:ascii="Arial" w:hAnsi="Arial" w:cs="Arial"/>
                <w:color w:val="auto"/>
                <w:sz w:val="22"/>
                <w:szCs w:val="22"/>
              </w:rPr>
              <w:t>12.399,22 EUR</w:t>
            </w:r>
          </w:p>
        </w:tc>
        <w:tc>
          <w:tcPr>
            <w:tcW w:w="1759" w:type="dxa"/>
            <w:vMerge/>
            <w:tcBorders>
              <w:top w:val="nil"/>
              <w:left w:val="single" w:sz="4" w:space="0" w:color="auto"/>
              <w:bottom w:val="nil"/>
              <w:right w:val="single" w:sz="8" w:space="0" w:color="auto"/>
            </w:tcBorders>
            <w:vAlign w:val="center"/>
            <w:hideMark/>
          </w:tcPr>
          <w:p w:rsidR="0018647F" w:rsidRPr="00E85451" w:rsidRDefault="0018647F" w:rsidP="0018647F">
            <w:pPr>
              <w:widowControl/>
              <w:rPr>
                <w:rFonts w:ascii="Arial" w:hAnsi="Arial" w:cs="Arial"/>
                <w:color w:val="auto"/>
                <w:sz w:val="22"/>
                <w:szCs w:val="22"/>
              </w:rPr>
            </w:pPr>
          </w:p>
        </w:tc>
      </w:tr>
      <w:tr w:rsidR="00E85451" w:rsidRPr="00E85451" w:rsidTr="007A7132">
        <w:tblPrEx>
          <w:tblLook w:val="04A0" w:firstRow="1" w:lastRow="0" w:firstColumn="1" w:lastColumn="0" w:noHBand="0" w:noVBand="1"/>
        </w:tblPrEx>
        <w:trPr>
          <w:gridBefore w:val="1"/>
          <w:gridAfter w:val="1"/>
          <w:wBefore w:w="6" w:type="dxa"/>
          <w:wAfter w:w="650" w:type="dxa"/>
          <w:trHeight w:val="315"/>
        </w:trPr>
        <w:tc>
          <w:tcPr>
            <w:tcW w:w="4098" w:type="dxa"/>
            <w:gridSpan w:val="2"/>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18647F" w:rsidRPr="00E85451" w:rsidRDefault="0018647F" w:rsidP="0018647F">
            <w:pPr>
              <w:widowControl/>
              <w:rPr>
                <w:rFonts w:ascii="Arial" w:hAnsi="Arial" w:cs="Arial"/>
                <w:color w:val="auto"/>
                <w:sz w:val="22"/>
                <w:szCs w:val="22"/>
              </w:rPr>
            </w:pPr>
            <w:r w:rsidRPr="00E85451">
              <w:rPr>
                <w:rFonts w:ascii="Arial" w:hAnsi="Arial" w:cs="Arial"/>
                <w:color w:val="auto"/>
                <w:sz w:val="22"/>
                <w:szCs w:val="22"/>
              </w:rPr>
              <w:t>UKUPNO</w:t>
            </w:r>
          </w:p>
        </w:tc>
        <w:tc>
          <w:tcPr>
            <w:tcW w:w="1779" w:type="dxa"/>
            <w:tcBorders>
              <w:top w:val="single" w:sz="8" w:space="0" w:color="auto"/>
              <w:left w:val="nil"/>
              <w:bottom w:val="single" w:sz="8" w:space="0" w:color="auto"/>
              <w:right w:val="single" w:sz="4" w:space="0" w:color="auto"/>
            </w:tcBorders>
            <w:shd w:val="clear" w:color="000000" w:fill="FFFFFF"/>
            <w:noWrap/>
            <w:vAlign w:val="center"/>
            <w:hideMark/>
          </w:tcPr>
          <w:p w:rsidR="0018647F" w:rsidRPr="00E85451" w:rsidRDefault="0018647F" w:rsidP="0018647F">
            <w:pPr>
              <w:widowControl/>
              <w:jc w:val="center"/>
              <w:rPr>
                <w:rFonts w:ascii="Arial" w:hAnsi="Arial" w:cs="Arial"/>
                <w:b/>
                <w:bCs/>
                <w:color w:val="auto"/>
                <w:sz w:val="22"/>
                <w:szCs w:val="22"/>
              </w:rPr>
            </w:pPr>
            <w:r w:rsidRPr="00E85451">
              <w:rPr>
                <w:rFonts w:ascii="Arial" w:hAnsi="Arial" w:cs="Arial"/>
                <w:b/>
                <w:bCs/>
                <w:color w:val="auto"/>
                <w:sz w:val="22"/>
                <w:szCs w:val="22"/>
              </w:rPr>
              <w:t>24.246,80 EUR</w:t>
            </w:r>
          </w:p>
        </w:tc>
        <w:tc>
          <w:tcPr>
            <w:tcW w:w="1913" w:type="dxa"/>
            <w:tcBorders>
              <w:top w:val="single" w:sz="8" w:space="0" w:color="auto"/>
              <w:left w:val="nil"/>
              <w:bottom w:val="single" w:sz="8" w:space="0" w:color="auto"/>
              <w:right w:val="single" w:sz="4" w:space="0" w:color="auto"/>
            </w:tcBorders>
            <w:shd w:val="clear" w:color="000000" w:fill="FFFFFF"/>
            <w:noWrap/>
            <w:vAlign w:val="center"/>
            <w:hideMark/>
          </w:tcPr>
          <w:p w:rsidR="0018647F" w:rsidRPr="00E85451" w:rsidRDefault="0018647F" w:rsidP="0018647F">
            <w:pPr>
              <w:widowControl/>
              <w:jc w:val="center"/>
              <w:rPr>
                <w:rFonts w:ascii="Arial" w:hAnsi="Arial" w:cs="Arial"/>
                <w:b/>
                <w:bCs/>
                <w:color w:val="auto"/>
                <w:sz w:val="22"/>
                <w:szCs w:val="22"/>
              </w:rPr>
            </w:pPr>
            <w:r w:rsidRPr="00E85451">
              <w:rPr>
                <w:rFonts w:ascii="Arial" w:hAnsi="Arial" w:cs="Arial"/>
                <w:b/>
                <w:bCs/>
                <w:color w:val="auto"/>
                <w:sz w:val="22"/>
                <w:szCs w:val="22"/>
              </w:rPr>
              <w:t>20.665,37 EUR</w:t>
            </w:r>
          </w:p>
        </w:tc>
        <w:tc>
          <w:tcPr>
            <w:tcW w:w="1759" w:type="dxa"/>
            <w:tcBorders>
              <w:top w:val="single" w:sz="8" w:space="0" w:color="auto"/>
              <w:left w:val="nil"/>
              <w:bottom w:val="single" w:sz="8" w:space="0" w:color="auto"/>
              <w:right w:val="single" w:sz="8" w:space="0" w:color="auto"/>
            </w:tcBorders>
            <w:shd w:val="clear" w:color="000000" w:fill="FFFFFF"/>
            <w:noWrap/>
            <w:vAlign w:val="center"/>
            <w:hideMark/>
          </w:tcPr>
          <w:p w:rsidR="0018647F" w:rsidRPr="00E85451" w:rsidRDefault="0018647F" w:rsidP="0018647F">
            <w:pPr>
              <w:widowControl/>
              <w:jc w:val="center"/>
              <w:rPr>
                <w:rFonts w:ascii="Arial" w:hAnsi="Arial" w:cs="Arial"/>
                <w:b/>
                <w:bCs/>
                <w:color w:val="auto"/>
                <w:sz w:val="22"/>
                <w:szCs w:val="22"/>
              </w:rPr>
            </w:pPr>
            <w:r w:rsidRPr="00E85451">
              <w:rPr>
                <w:rFonts w:ascii="Arial" w:hAnsi="Arial" w:cs="Arial"/>
                <w:b/>
                <w:bCs/>
                <w:color w:val="auto"/>
                <w:sz w:val="22"/>
                <w:szCs w:val="22"/>
              </w:rPr>
              <w:t>85,23%</w:t>
            </w:r>
          </w:p>
        </w:tc>
      </w:tr>
    </w:tbl>
    <w:p w:rsidR="000701F6" w:rsidRPr="00E85451" w:rsidRDefault="000701F6" w:rsidP="00F74C0A">
      <w:pPr>
        <w:ind w:right="-154"/>
        <w:rPr>
          <w:rFonts w:ascii="Arial" w:hAnsi="Arial" w:cs="Arial"/>
          <w:color w:val="auto"/>
          <w:sz w:val="22"/>
          <w:szCs w:val="22"/>
        </w:rPr>
      </w:pPr>
    </w:p>
    <w:p w:rsidR="009B448C" w:rsidRPr="000F3158" w:rsidRDefault="00777E9D" w:rsidP="001D5F37">
      <w:pPr>
        <w:ind w:right="-154"/>
        <w:rPr>
          <w:rFonts w:ascii="Arial" w:hAnsi="Arial" w:cs="Arial"/>
          <w:color w:val="auto"/>
          <w:szCs w:val="24"/>
        </w:rPr>
      </w:pPr>
      <w:r w:rsidRPr="000F3158">
        <w:rPr>
          <w:rFonts w:ascii="Arial" w:hAnsi="Arial" w:cs="Arial"/>
          <w:b/>
          <w:color w:val="auto"/>
          <w:szCs w:val="24"/>
        </w:rPr>
        <w:t>2.1.3. Europska oznaka jezika (ELL)</w:t>
      </w:r>
    </w:p>
    <w:p w:rsidR="009B448C" w:rsidRPr="00E85451" w:rsidRDefault="009B448C" w:rsidP="00F74C0A">
      <w:pPr>
        <w:ind w:right="-154"/>
        <w:rPr>
          <w:rFonts w:ascii="Arial" w:hAnsi="Arial" w:cs="Arial"/>
          <w:color w:val="auto"/>
          <w:sz w:val="22"/>
          <w:szCs w:val="22"/>
        </w:rPr>
      </w:pPr>
    </w:p>
    <w:tbl>
      <w:tblPr>
        <w:tblW w:w="9780" w:type="dxa"/>
        <w:tblInd w:w="-478" w:type="dxa"/>
        <w:tblLayout w:type="fixed"/>
        <w:tblLook w:val="0600" w:firstRow="0" w:lastRow="0" w:firstColumn="0" w:lastColumn="0" w:noHBand="1" w:noVBand="1"/>
      </w:tblPr>
      <w:tblGrid>
        <w:gridCol w:w="1560"/>
        <w:gridCol w:w="8220"/>
      </w:tblGrid>
      <w:tr w:rsidR="00E85451" w:rsidRPr="00E85451" w:rsidTr="008D30CE">
        <w:tc>
          <w:tcPr>
            <w:tcW w:w="1560" w:type="dxa"/>
            <w:tcMar>
              <w:top w:w="88" w:type="dxa"/>
              <w:left w:w="88" w:type="dxa"/>
              <w:bottom w:w="88" w:type="dxa"/>
              <w:right w:w="88" w:type="dxa"/>
            </w:tcMar>
          </w:tcPr>
          <w:p w:rsidR="003A22A9" w:rsidRPr="00E85451" w:rsidRDefault="003A22A9" w:rsidP="003A22A9">
            <w:pPr>
              <w:ind w:right="-154"/>
              <w:rPr>
                <w:rFonts w:ascii="Arial" w:hAnsi="Arial" w:cs="Arial"/>
                <w:color w:val="auto"/>
                <w:sz w:val="22"/>
                <w:szCs w:val="22"/>
              </w:rPr>
            </w:pPr>
            <w:r w:rsidRPr="00E85451">
              <w:rPr>
                <w:rFonts w:ascii="Arial" w:hAnsi="Arial" w:cs="Arial"/>
                <w:color w:val="auto"/>
                <w:sz w:val="22"/>
                <w:szCs w:val="22"/>
              </w:rPr>
              <w:t>Ukratko o programu i ciljevima:</w:t>
            </w:r>
          </w:p>
        </w:tc>
        <w:tc>
          <w:tcPr>
            <w:tcW w:w="8220" w:type="dxa"/>
            <w:tcMar>
              <w:top w:w="88" w:type="dxa"/>
              <w:left w:w="88" w:type="dxa"/>
              <w:bottom w:w="88" w:type="dxa"/>
              <w:right w:w="88" w:type="dxa"/>
            </w:tcMar>
          </w:tcPr>
          <w:p w:rsidR="003A22A9" w:rsidRPr="00E85451" w:rsidRDefault="003A22A9" w:rsidP="007A7132">
            <w:pPr>
              <w:jc w:val="both"/>
              <w:rPr>
                <w:rFonts w:ascii="Arial" w:hAnsi="Arial" w:cs="Arial"/>
                <w:color w:val="auto"/>
                <w:sz w:val="22"/>
                <w:szCs w:val="22"/>
              </w:rPr>
            </w:pPr>
            <w:r w:rsidRPr="00E85451">
              <w:rPr>
                <w:rFonts w:ascii="Arial" w:hAnsi="Arial" w:cs="Arial"/>
                <w:color w:val="auto"/>
                <w:sz w:val="22"/>
                <w:szCs w:val="22"/>
              </w:rPr>
              <w:t>Europska oznaka jezika</w:t>
            </w:r>
            <w:r w:rsidRPr="00E85451">
              <w:rPr>
                <w:rFonts w:ascii="Arial" w:hAnsi="Arial" w:cs="Arial"/>
                <w:b/>
                <w:color w:val="auto"/>
                <w:sz w:val="22"/>
                <w:szCs w:val="22"/>
              </w:rPr>
              <w:t xml:space="preserve"> </w:t>
            </w:r>
            <w:r w:rsidRPr="00E85451">
              <w:rPr>
                <w:rFonts w:ascii="Arial" w:hAnsi="Arial" w:cs="Arial"/>
                <w:color w:val="auto"/>
                <w:sz w:val="22"/>
                <w:szCs w:val="22"/>
              </w:rPr>
              <w:t>je nagrada/prizna</w:t>
            </w:r>
            <w:r w:rsidR="004B23C6" w:rsidRPr="00E85451">
              <w:rPr>
                <w:rFonts w:ascii="Arial" w:hAnsi="Arial" w:cs="Arial"/>
                <w:color w:val="auto"/>
                <w:sz w:val="22"/>
                <w:szCs w:val="22"/>
              </w:rPr>
              <w:t>n</w:t>
            </w:r>
            <w:r w:rsidRPr="00E85451">
              <w:rPr>
                <w:rFonts w:ascii="Arial" w:hAnsi="Arial" w:cs="Arial"/>
                <w:color w:val="auto"/>
                <w:sz w:val="22"/>
                <w:szCs w:val="22"/>
              </w:rPr>
              <w:t xml:space="preserve">je koja potiče inicijative u području učenja i podučavanja jezika, nagrađuje nove tehnike podučavanja jezika, promiče i potiče uvođenje nove prakse. Republika Hrvatska je pristupila inicijativi 2014. godine te je iste godine održana i prva svečana dodjela nagrada. </w:t>
            </w:r>
          </w:p>
          <w:p w:rsidR="003A22A9" w:rsidRPr="00E85451" w:rsidRDefault="003A22A9" w:rsidP="007A7132">
            <w:pPr>
              <w:jc w:val="both"/>
              <w:rPr>
                <w:rFonts w:ascii="Arial" w:hAnsi="Arial" w:cs="Arial"/>
                <w:color w:val="auto"/>
                <w:sz w:val="22"/>
                <w:szCs w:val="22"/>
              </w:rPr>
            </w:pPr>
          </w:p>
          <w:p w:rsidR="003A22A9" w:rsidRPr="00E85451" w:rsidRDefault="003A22A9" w:rsidP="007A7132">
            <w:pPr>
              <w:jc w:val="both"/>
              <w:rPr>
                <w:rFonts w:ascii="Arial" w:hAnsi="Arial" w:cs="Arial"/>
                <w:color w:val="auto"/>
                <w:sz w:val="22"/>
                <w:szCs w:val="22"/>
              </w:rPr>
            </w:pPr>
            <w:r w:rsidRPr="00E85451">
              <w:rPr>
                <w:rFonts w:ascii="Arial" w:hAnsi="Arial" w:cs="Arial"/>
                <w:color w:val="auto"/>
                <w:sz w:val="22"/>
                <w:szCs w:val="22"/>
              </w:rPr>
              <w:t>Europska oznaka jezika je otvorena za inicijative i postignuća u školama i obrazovnim institucijama, kako privatnim tako i javnim. To mogu biti organizacije iz područja obrazovanja i osposobljavanja, lokalne zajednice, poslodavci, različita društva i udruge. Sudjelovanje je otvoreno za sve koji provode projekt koji ispunjava ciljeve inicijative:</w:t>
            </w:r>
          </w:p>
          <w:p w:rsidR="003A22A9" w:rsidRPr="00E85451" w:rsidRDefault="003A22A9" w:rsidP="007A7132">
            <w:pPr>
              <w:jc w:val="both"/>
              <w:rPr>
                <w:rFonts w:ascii="Arial" w:hAnsi="Arial" w:cs="Arial"/>
                <w:color w:val="auto"/>
                <w:sz w:val="22"/>
                <w:szCs w:val="22"/>
              </w:rPr>
            </w:pPr>
          </w:p>
          <w:p w:rsidR="003A22A9" w:rsidRPr="00E85451" w:rsidRDefault="003A22A9" w:rsidP="007A7132">
            <w:pPr>
              <w:jc w:val="both"/>
              <w:rPr>
                <w:rFonts w:ascii="Arial" w:hAnsi="Arial" w:cs="Arial"/>
                <w:color w:val="auto"/>
                <w:sz w:val="22"/>
                <w:szCs w:val="22"/>
              </w:rPr>
            </w:pPr>
            <w:r w:rsidRPr="00E85451">
              <w:rPr>
                <w:rFonts w:ascii="Arial" w:hAnsi="Arial" w:cs="Arial"/>
                <w:color w:val="auto"/>
                <w:sz w:val="22"/>
                <w:szCs w:val="22"/>
              </w:rPr>
              <w:t>Glavni ciljevi inicijative su:</w:t>
            </w:r>
          </w:p>
          <w:p w:rsidR="003A22A9" w:rsidRPr="00E85451" w:rsidRDefault="003A22A9" w:rsidP="007A7132">
            <w:pPr>
              <w:numPr>
                <w:ilvl w:val="0"/>
                <w:numId w:val="13"/>
              </w:numPr>
              <w:jc w:val="both"/>
              <w:rPr>
                <w:rFonts w:ascii="Arial" w:hAnsi="Arial" w:cs="Arial"/>
                <w:color w:val="auto"/>
                <w:sz w:val="22"/>
                <w:szCs w:val="22"/>
              </w:rPr>
            </w:pPr>
            <w:r w:rsidRPr="00E85451">
              <w:rPr>
                <w:rFonts w:ascii="Arial" w:hAnsi="Arial" w:cs="Arial"/>
                <w:color w:val="auto"/>
                <w:sz w:val="22"/>
                <w:szCs w:val="22"/>
              </w:rPr>
              <w:t>podizanje svijesti o važnosti jezične raznolikosti u Europi</w:t>
            </w:r>
          </w:p>
          <w:p w:rsidR="003A22A9" w:rsidRPr="00E85451" w:rsidRDefault="003A22A9" w:rsidP="007A7132">
            <w:pPr>
              <w:numPr>
                <w:ilvl w:val="0"/>
                <w:numId w:val="13"/>
              </w:numPr>
              <w:jc w:val="both"/>
              <w:rPr>
                <w:rFonts w:ascii="Arial" w:hAnsi="Arial" w:cs="Arial"/>
                <w:color w:val="auto"/>
                <w:sz w:val="22"/>
                <w:szCs w:val="22"/>
              </w:rPr>
            </w:pPr>
            <w:r w:rsidRPr="00E85451">
              <w:rPr>
                <w:rFonts w:ascii="Arial" w:hAnsi="Arial" w:cs="Arial"/>
                <w:color w:val="auto"/>
                <w:sz w:val="22"/>
                <w:szCs w:val="22"/>
              </w:rPr>
              <w:t>poticanje novih tehnika i metoda poučavanja jezika, njihova promidžba i i šira primjena</w:t>
            </w:r>
          </w:p>
          <w:p w:rsidR="003A22A9" w:rsidRPr="00E85451" w:rsidRDefault="003A22A9" w:rsidP="007A7132">
            <w:pPr>
              <w:numPr>
                <w:ilvl w:val="0"/>
                <w:numId w:val="13"/>
              </w:numPr>
              <w:jc w:val="both"/>
              <w:rPr>
                <w:rFonts w:ascii="Arial" w:hAnsi="Arial" w:cs="Arial"/>
                <w:color w:val="auto"/>
                <w:sz w:val="22"/>
                <w:szCs w:val="22"/>
              </w:rPr>
            </w:pPr>
            <w:r w:rsidRPr="00E85451">
              <w:rPr>
                <w:rFonts w:ascii="Arial" w:hAnsi="Arial" w:cs="Arial"/>
                <w:color w:val="auto"/>
                <w:sz w:val="22"/>
                <w:szCs w:val="22"/>
              </w:rPr>
              <w:t>poticanje primjera dobre prakse</w:t>
            </w:r>
          </w:p>
          <w:p w:rsidR="003A22A9" w:rsidRPr="00E85451" w:rsidRDefault="003A22A9" w:rsidP="007A7132">
            <w:pPr>
              <w:numPr>
                <w:ilvl w:val="0"/>
                <w:numId w:val="13"/>
              </w:numPr>
              <w:jc w:val="both"/>
              <w:rPr>
                <w:rFonts w:ascii="Arial" w:hAnsi="Arial" w:cs="Arial"/>
                <w:color w:val="auto"/>
                <w:sz w:val="22"/>
                <w:szCs w:val="22"/>
              </w:rPr>
            </w:pPr>
            <w:r w:rsidRPr="00E85451">
              <w:rPr>
                <w:rFonts w:ascii="Arial" w:hAnsi="Arial" w:cs="Arial"/>
                <w:color w:val="auto"/>
                <w:sz w:val="22"/>
                <w:szCs w:val="22"/>
              </w:rPr>
              <w:t>poticaje interesa/zanimanja opće javnosti za usavršavanje jezičnih vještina</w:t>
            </w:r>
          </w:p>
          <w:p w:rsidR="003A22A9" w:rsidRPr="00E85451" w:rsidRDefault="003A22A9" w:rsidP="007A7132">
            <w:pPr>
              <w:jc w:val="both"/>
              <w:rPr>
                <w:rFonts w:ascii="Arial" w:hAnsi="Arial" w:cs="Arial"/>
                <w:color w:val="auto"/>
                <w:sz w:val="22"/>
                <w:szCs w:val="22"/>
              </w:rPr>
            </w:pPr>
          </w:p>
          <w:p w:rsidR="003A22A9" w:rsidRPr="00E85451" w:rsidRDefault="003A22A9" w:rsidP="007A7132">
            <w:pPr>
              <w:jc w:val="both"/>
              <w:rPr>
                <w:rFonts w:ascii="Arial" w:hAnsi="Arial" w:cs="Arial"/>
                <w:color w:val="auto"/>
                <w:sz w:val="22"/>
                <w:szCs w:val="22"/>
              </w:rPr>
            </w:pPr>
            <w:r w:rsidRPr="00E85451">
              <w:rPr>
                <w:rFonts w:ascii="Arial" w:hAnsi="Arial" w:cs="Arial"/>
                <w:color w:val="auto"/>
                <w:sz w:val="22"/>
                <w:szCs w:val="22"/>
              </w:rPr>
              <w:t xml:space="preserve">Nacionalni odbor </w:t>
            </w:r>
            <w:r w:rsidR="008D30CE" w:rsidRPr="00E85451">
              <w:rPr>
                <w:rFonts w:ascii="Arial" w:hAnsi="Arial" w:cs="Arial"/>
                <w:color w:val="auto"/>
                <w:sz w:val="22"/>
                <w:szCs w:val="22"/>
              </w:rPr>
              <w:t>za odabir projekata</w:t>
            </w:r>
            <w:r w:rsidRPr="00E85451">
              <w:rPr>
                <w:rFonts w:ascii="Arial" w:hAnsi="Arial" w:cs="Arial"/>
                <w:color w:val="auto"/>
                <w:sz w:val="22"/>
                <w:szCs w:val="22"/>
              </w:rPr>
              <w:t xml:space="preserve"> sastavljen </w:t>
            </w:r>
            <w:r w:rsidR="008D30CE" w:rsidRPr="00E85451">
              <w:rPr>
                <w:rFonts w:ascii="Arial" w:hAnsi="Arial" w:cs="Arial"/>
                <w:color w:val="auto"/>
                <w:sz w:val="22"/>
                <w:szCs w:val="22"/>
              </w:rPr>
              <w:t xml:space="preserve">je </w:t>
            </w:r>
            <w:r w:rsidRPr="00E85451">
              <w:rPr>
                <w:rFonts w:ascii="Arial" w:hAnsi="Arial" w:cs="Arial"/>
                <w:color w:val="auto"/>
                <w:sz w:val="22"/>
                <w:szCs w:val="22"/>
              </w:rPr>
              <w:t xml:space="preserve">od predstavnika relevantnih institucija u području jezičnih kompetencija (Ministarstvo znanosti, obrazovanja i sporta, Filozofski fakultet Sveučilišta u Zagrebu, Agencija za odgoj i obrazovanje, British Council, Goethe institut, </w:t>
            </w:r>
            <w:r w:rsidR="008D30CE" w:rsidRPr="00E85451">
              <w:rPr>
                <w:rFonts w:ascii="Arial" w:hAnsi="Arial" w:cs="Arial"/>
                <w:color w:val="auto"/>
                <w:sz w:val="22"/>
                <w:szCs w:val="22"/>
              </w:rPr>
              <w:t>2 predstavnika odgojno-obrazovnih ustanova</w:t>
            </w:r>
            <w:r w:rsidRPr="00E85451">
              <w:rPr>
                <w:rFonts w:ascii="Arial" w:hAnsi="Arial" w:cs="Arial"/>
                <w:color w:val="auto"/>
                <w:sz w:val="22"/>
                <w:szCs w:val="22"/>
              </w:rPr>
              <w:t>). Predsjednik Nacionalnog odbora je predstavnik Ministarstva znanosti, obrazovanja i sporta.</w:t>
            </w:r>
          </w:p>
          <w:p w:rsidR="003A22A9" w:rsidRPr="00E85451" w:rsidRDefault="003A22A9" w:rsidP="007A7132">
            <w:pPr>
              <w:jc w:val="both"/>
              <w:rPr>
                <w:rFonts w:ascii="Arial" w:hAnsi="Arial" w:cs="Arial"/>
                <w:color w:val="auto"/>
                <w:sz w:val="22"/>
                <w:szCs w:val="22"/>
              </w:rPr>
            </w:pPr>
          </w:p>
          <w:p w:rsidR="003A22A9" w:rsidRPr="00E85451" w:rsidRDefault="003A22A9" w:rsidP="007A7132">
            <w:pPr>
              <w:jc w:val="both"/>
              <w:rPr>
                <w:rFonts w:ascii="Arial" w:hAnsi="Arial" w:cs="Arial"/>
                <w:color w:val="auto"/>
                <w:sz w:val="22"/>
                <w:szCs w:val="22"/>
              </w:rPr>
            </w:pPr>
            <w:r w:rsidRPr="00E85451">
              <w:rPr>
                <w:rFonts w:ascii="Arial" w:hAnsi="Arial" w:cs="Arial"/>
                <w:color w:val="auto"/>
                <w:sz w:val="22"/>
                <w:szCs w:val="22"/>
              </w:rPr>
              <w:t>Nagrađeni pojedinci ili ustanove dobivaju: certifikat kojeg potpisuje ministar znanosti, obrazovanja i sporta Republike Hrvatske i povjereni</w:t>
            </w:r>
            <w:r w:rsidR="00083D15">
              <w:rPr>
                <w:rFonts w:ascii="Arial" w:hAnsi="Arial" w:cs="Arial"/>
                <w:color w:val="auto"/>
                <w:sz w:val="22"/>
                <w:szCs w:val="22"/>
              </w:rPr>
              <w:t>k Europske komisije</w:t>
            </w:r>
            <w:r w:rsidRPr="00E85451">
              <w:rPr>
                <w:rFonts w:ascii="Arial" w:hAnsi="Arial" w:cs="Arial"/>
                <w:color w:val="auto"/>
                <w:sz w:val="22"/>
                <w:szCs w:val="22"/>
              </w:rPr>
              <w:t xml:space="preserve"> za obrazovanje, kulturu, višejezičnost i mlade; dopuštenje za korištenje logotipa Europske oznake jezika u svrhu promocije i širenja rezultata projekta; objavljeni sažetak projekta na mrežnim stranicama EK i AMPEU; nagrad</w:t>
            </w:r>
            <w:r w:rsidR="008D30CE" w:rsidRPr="00E85451">
              <w:rPr>
                <w:rFonts w:ascii="Arial" w:hAnsi="Arial" w:cs="Arial"/>
                <w:color w:val="auto"/>
                <w:sz w:val="22"/>
                <w:szCs w:val="22"/>
              </w:rPr>
              <w:t>u.</w:t>
            </w:r>
          </w:p>
          <w:p w:rsidR="003A22A9" w:rsidRPr="00E85451" w:rsidRDefault="003A22A9" w:rsidP="007A7132">
            <w:pPr>
              <w:rPr>
                <w:rFonts w:ascii="Arial" w:hAnsi="Arial" w:cs="Arial"/>
                <w:b/>
                <w:color w:val="auto"/>
                <w:sz w:val="22"/>
                <w:szCs w:val="22"/>
              </w:rPr>
            </w:pPr>
          </w:p>
        </w:tc>
      </w:tr>
      <w:tr w:rsidR="00E85451" w:rsidRPr="00E85451" w:rsidTr="008D30CE">
        <w:tc>
          <w:tcPr>
            <w:tcW w:w="1560" w:type="dxa"/>
            <w:tcMar>
              <w:top w:w="88" w:type="dxa"/>
              <w:left w:w="88" w:type="dxa"/>
              <w:bottom w:w="88" w:type="dxa"/>
              <w:right w:w="88" w:type="dxa"/>
            </w:tcMar>
          </w:tcPr>
          <w:p w:rsidR="003A22A9" w:rsidRPr="00E85451" w:rsidRDefault="003A22A9" w:rsidP="003A22A9">
            <w:pPr>
              <w:ind w:right="-154"/>
              <w:rPr>
                <w:rFonts w:ascii="Arial" w:hAnsi="Arial" w:cs="Arial"/>
                <w:color w:val="auto"/>
                <w:sz w:val="22"/>
                <w:szCs w:val="22"/>
              </w:rPr>
            </w:pPr>
            <w:r w:rsidRPr="00E85451">
              <w:rPr>
                <w:rFonts w:ascii="Arial" w:hAnsi="Arial" w:cs="Arial"/>
                <w:color w:val="auto"/>
                <w:sz w:val="22"/>
                <w:szCs w:val="22"/>
              </w:rPr>
              <w:lastRenderedPageBreak/>
              <w:t>Aktivnosti poduzete tijekom 2014.g.</w:t>
            </w:r>
          </w:p>
        </w:tc>
        <w:tc>
          <w:tcPr>
            <w:tcW w:w="8220" w:type="dxa"/>
            <w:tcMar>
              <w:top w:w="88" w:type="dxa"/>
              <w:left w:w="88" w:type="dxa"/>
              <w:bottom w:w="88" w:type="dxa"/>
              <w:right w:w="88" w:type="dxa"/>
            </w:tcMar>
          </w:tcPr>
          <w:p w:rsidR="003A22A9" w:rsidRPr="00E85451" w:rsidRDefault="003A22A9" w:rsidP="007A7132">
            <w:pPr>
              <w:jc w:val="both"/>
              <w:rPr>
                <w:rFonts w:ascii="Arial" w:hAnsi="Arial" w:cs="Arial"/>
                <w:color w:val="auto"/>
                <w:sz w:val="22"/>
                <w:szCs w:val="22"/>
              </w:rPr>
            </w:pPr>
            <w:r w:rsidRPr="00E85451">
              <w:rPr>
                <w:rFonts w:ascii="Arial" w:hAnsi="Arial" w:cs="Arial"/>
                <w:color w:val="auto"/>
                <w:sz w:val="22"/>
                <w:szCs w:val="22"/>
              </w:rPr>
              <w:t xml:space="preserve">Tijekom 2014. godine objavljen je Javni poziv za iskazivanje interesa za dodjelu Europske oznake jezika (objavljen 30. travnja). Na natječaju je zaprimljeno ukupno 29 prijava od čega je 26 prijava zadovoljilo formalne kriterije ocjenjivanja. </w:t>
            </w:r>
          </w:p>
          <w:p w:rsidR="003A22A9" w:rsidRPr="00E85451" w:rsidRDefault="003A22A9" w:rsidP="007A7132">
            <w:pPr>
              <w:jc w:val="both"/>
              <w:rPr>
                <w:rFonts w:ascii="Arial" w:hAnsi="Arial" w:cs="Arial"/>
                <w:color w:val="auto"/>
                <w:sz w:val="22"/>
                <w:szCs w:val="22"/>
              </w:rPr>
            </w:pPr>
          </w:p>
          <w:p w:rsidR="003A22A9" w:rsidRPr="00E85451" w:rsidRDefault="003A22A9" w:rsidP="007A7132">
            <w:pPr>
              <w:jc w:val="both"/>
              <w:rPr>
                <w:rFonts w:ascii="Arial" w:hAnsi="Arial" w:cs="Arial"/>
                <w:color w:val="auto"/>
                <w:sz w:val="22"/>
                <w:szCs w:val="22"/>
              </w:rPr>
            </w:pPr>
            <w:r w:rsidRPr="00E85451">
              <w:rPr>
                <w:rFonts w:ascii="Arial" w:hAnsi="Arial" w:cs="Arial"/>
                <w:color w:val="auto"/>
                <w:sz w:val="22"/>
                <w:szCs w:val="22"/>
              </w:rPr>
              <w:t>S obzirom na veliki broj kvalitetnih projekata i limitiran broj nagrada za pobjednike uz prijedlog za dodjelu nagrade/priznanja, Nacionalni odbor je predložio da se uvedu i dvije dodatne kategorije:</w:t>
            </w:r>
          </w:p>
          <w:p w:rsidR="003A22A9" w:rsidRPr="00E85451" w:rsidRDefault="003A22A9" w:rsidP="007A7132">
            <w:pPr>
              <w:numPr>
                <w:ilvl w:val="0"/>
                <w:numId w:val="14"/>
              </w:numPr>
              <w:jc w:val="both"/>
              <w:rPr>
                <w:rFonts w:ascii="Arial" w:hAnsi="Arial" w:cs="Arial"/>
                <w:color w:val="auto"/>
                <w:sz w:val="22"/>
                <w:szCs w:val="22"/>
              </w:rPr>
            </w:pPr>
            <w:r w:rsidRPr="00E85451">
              <w:rPr>
                <w:rFonts w:ascii="Arial" w:hAnsi="Arial" w:cs="Arial"/>
                <w:color w:val="auto"/>
                <w:sz w:val="22"/>
                <w:szCs w:val="22"/>
              </w:rPr>
              <w:t>priznanje za posebno istaknute projekte neovisno o dodijeljenim bodovima (6 projekta)</w:t>
            </w:r>
          </w:p>
          <w:p w:rsidR="003A22A9" w:rsidRPr="00E85451" w:rsidRDefault="003A22A9" w:rsidP="007A7132">
            <w:pPr>
              <w:numPr>
                <w:ilvl w:val="0"/>
                <w:numId w:val="14"/>
              </w:numPr>
              <w:jc w:val="both"/>
              <w:rPr>
                <w:rFonts w:ascii="Arial" w:hAnsi="Arial" w:cs="Arial"/>
                <w:color w:val="auto"/>
                <w:sz w:val="22"/>
                <w:szCs w:val="22"/>
              </w:rPr>
            </w:pPr>
            <w:r w:rsidRPr="00E85451">
              <w:rPr>
                <w:rFonts w:ascii="Arial" w:hAnsi="Arial" w:cs="Arial"/>
                <w:color w:val="auto"/>
                <w:sz w:val="22"/>
                <w:szCs w:val="22"/>
              </w:rPr>
              <w:t>zahvalnica Agencije za mobilnost i programe EU – svim prijavljenim projektima</w:t>
            </w:r>
            <w:r w:rsidR="007E4E76" w:rsidRPr="00E85451">
              <w:rPr>
                <w:rFonts w:ascii="Arial" w:hAnsi="Arial" w:cs="Arial"/>
                <w:color w:val="auto"/>
                <w:sz w:val="22"/>
                <w:szCs w:val="22"/>
              </w:rPr>
              <w:t>.</w:t>
            </w:r>
          </w:p>
          <w:p w:rsidR="003A22A9" w:rsidRPr="00E85451" w:rsidRDefault="003A22A9" w:rsidP="007A7132">
            <w:pPr>
              <w:jc w:val="both"/>
              <w:rPr>
                <w:rFonts w:ascii="Arial" w:hAnsi="Arial" w:cs="Arial"/>
                <w:color w:val="auto"/>
                <w:sz w:val="22"/>
                <w:szCs w:val="22"/>
              </w:rPr>
            </w:pPr>
          </w:p>
          <w:p w:rsidR="003A22A9" w:rsidRPr="00E85451" w:rsidRDefault="003A22A9" w:rsidP="007A7132">
            <w:pPr>
              <w:jc w:val="both"/>
              <w:rPr>
                <w:rFonts w:ascii="Arial" w:hAnsi="Arial" w:cs="Arial"/>
                <w:color w:val="auto"/>
                <w:sz w:val="22"/>
                <w:szCs w:val="22"/>
              </w:rPr>
            </w:pPr>
            <w:r w:rsidRPr="00E85451">
              <w:rPr>
                <w:rFonts w:ascii="Arial" w:hAnsi="Arial" w:cs="Arial"/>
                <w:color w:val="auto"/>
                <w:sz w:val="22"/>
                <w:szCs w:val="22"/>
              </w:rPr>
              <w:t>Svečana dodjela nagrade organizirana je u okviru Europskog dana jezika, 26. rujna 2014. godine u Ministarstv</w:t>
            </w:r>
            <w:r w:rsidR="008D30CE" w:rsidRPr="00E85451">
              <w:rPr>
                <w:rFonts w:ascii="Arial" w:hAnsi="Arial" w:cs="Arial"/>
                <w:color w:val="auto"/>
                <w:sz w:val="22"/>
                <w:szCs w:val="22"/>
              </w:rPr>
              <w:t>u</w:t>
            </w:r>
            <w:r w:rsidRPr="00E85451">
              <w:rPr>
                <w:rFonts w:ascii="Arial" w:hAnsi="Arial" w:cs="Arial"/>
                <w:color w:val="auto"/>
                <w:sz w:val="22"/>
                <w:szCs w:val="22"/>
              </w:rPr>
              <w:t xml:space="preserve"> znanosti, obrazovanja i sporta. </w:t>
            </w:r>
          </w:p>
        </w:tc>
      </w:tr>
      <w:tr w:rsidR="00E85451" w:rsidRPr="00E85451" w:rsidTr="008D30CE">
        <w:tc>
          <w:tcPr>
            <w:tcW w:w="1560" w:type="dxa"/>
            <w:tcMar>
              <w:top w:w="88" w:type="dxa"/>
              <w:left w:w="88" w:type="dxa"/>
              <w:bottom w:w="88" w:type="dxa"/>
              <w:right w:w="88" w:type="dxa"/>
            </w:tcMar>
          </w:tcPr>
          <w:p w:rsidR="003A22A9" w:rsidRPr="00E85451" w:rsidRDefault="003A22A9" w:rsidP="003A22A9">
            <w:pPr>
              <w:ind w:right="-154"/>
              <w:rPr>
                <w:rFonts w:ascii="Arial" w:hAnsi="Arial" w:cs="Arial"/>
                <w:color w:val="auto"/>
                <w:sz w:val="22"/>
                <w:szCs w:val="22"/>
              </w:rPr>
            </w:pPr>
            <w:r w:rsidRPr="00E85451">
              <w:rPr>
                <w:rFonts w:ascii="Arial" w:hAnsi="Arial" w:cs="Arial"/>
                <w:color w:val="auto"/>
                <w:sz w:val="22"/>
                <w:szCs w:val="22"/>
              </w:rPr>
              <w:t>Odobreni proračun s omjerima financiranja</w:t>
            </w:r>
          </w:p>
        </w:tc>
        <w:tc>
          <w:tcPr>
            <w:tcW w:w="8220" w:type="dxa"/>
            <w:tcMar>
              <w:top w:w="88" w:type="dxa"/>
              <w:left w:w="88" w:type="dxa"/>
              <w:bottom w:w="88" w:type="dxa"/>
              <w:right w:w="88" w:type="dxa"/>
            </w:tcMar>
          </w:tcPr>
          <w:p w:rsidR="003A22A9" w:rsidRPr="00E85451" w:rsidRDefault="003A22A9" w:rsidP="007A7132">
            <w:pPr>
              <w:jc w:val="both"/>
              <w:rPr>
                <w:rFonts w:ascii="Arial" w:hAnsi="Arial" w:cs="Arial"/>
                <w:color w:val="auto"/>
                <w:sz w:val="22"/>
                <w:szCs w:val="22"/>
              </w:rPr>
            </w:pPr>
            <w:r w:rsidRPr="00E85451">
              <w:rPr>
                <w:rFonts w:ascii="Arial" w:hAnsi="Arial" w:cs="Arial"/>
                <w:color w:val="auto"/>
                <w:sz w:val="22"/>
                <w:szCs w:val="22"/>
              </w:rPr>
              <w:t xml:space="preserve">Iako organizacija dodjele nagrada/priznanja Europske oznake jezika više </w:t>
            </w:r>
            <w:r w:rsidR="008D30CE" w:rsidRPr="00E85451">
              <w:rPr>
                <w:rFonts w:ascii="Arial" w:hAnsi="Arial" w:cs="Arial"/>
                <w:color w:val="auto"/>
                <w:sz w:val="22"/>
                <w:szCs w:val="22"/>
              </w:rPr>
              <w:t xml:space="preserve">nije uključena </w:t>
            </w:r>
            <w:r w:rsidRPr="00E85451">
              <w:rPr>
                <w:rFonts w:ascii="Arial" w:hAnsi="Arial" w:cs="Arial"/>
                <w:color w:val="auto"/>
                <w:sz w:val="22"/>
                <w:szCs w:val="22"/>
              </w:rPr>
              <w:t>u minimalne zahtjeve propisane nacionalnim agencijama u okviru provedbe programa Erasmus + i nadalje se snažno preporuča njena provedba na nacionalnoj razini.</w:t>
            </w:r>
          </w:p>
          <w:p w:rsidR="003A22A9" w:rsidRPr="00E85451" w:rsidRDefault="003A22A9" w:rsidP="007A7132">
            <w:pPr>
              <w:jc w:val="both"/>
              <w:rPr>
                <w:rFonts w:ascii="Arial" w:hAnsi="Arial" w:cs="Arial"/>
                <w:color w:val="auto"/>
                <w:sz w:val="22"/>
                <w:szCs w:val="22"/>
              </w:rPr>
            </w:pPr>
            <w:r w:rsidRPr="00E85451">
              <w:rPr>
                <w:rFonts w:ascii="Arial" w:hAnsi="Arial" w:cs="Arial"/>
                <w:color w:val="auto"/>
                <w:sz w:val="22"/>
                <w:szCs w:val="22"/>
              </w:rPr>
              <w:t xml:space="preserve">Nacionalne agencije </w:t>
            </w:r>
            <w:r w:rsidR="00536330" w:rsidRPr="00E85451">
              <w:rPr>
                <w:rFonts w:ascii="Arial" w:hAnsi="Arial" w:cs="Arial"/>
                <w:color w:val="auto"/>
                <w:sz w:val="22"/>
                <w:szCs w:val="22"/>
              </w:rPr>
              <w:t>financiraju</w:t>
            </w:r>
            <w:r w:rsidRPr="00E85451">
              <w:rPr>
                <w:rFonts w:ascii="Arial" w:hAnsi="Arial" w:cs="Arial"/>
                <w:color w:val="auto"/>
                <w:sz w:val="22"/>
                <w:szCs w:val="22"/>
              </w:rPr>
              <w:t xml:space="preserve"> aktivnosti Europske oznake jezika u okviru operativnog granta.</w:t>
            </w:r>
          </w:p>
          <w:p w:rsidR="003A22A9" w:rsidRPr="00E85451" w:rsidRDefault="003A22A9" w:rsidP="007A7132">
            <w:pPr>
              <w:rPr>
                <w:rFonts w:ascii="Arial" w:hAnsi="Arial" w:cs="Arial"/>
                <w:color w:val="auto"/>
                <w:sz w:val="22"/>
                <w:szCs w:val="22"/>
              </w:rPr>
            </w:pPr>
          </w:p>
        </w:tc>
      </w:tr>
      <w:tr w:rsidR="00E85451" w:rsidRPr="00E85451" w:rsidTr="008D30CE">
        <w:tc>
          <w:tcPr>
            <w:tcW w:w="1560" w:type="dxa"/>
            <w:tcMar>
              <w:top w:w="88" w:type="dxa"/>
              <w:left w:w="88" w:type="dxa"/>
              <w:bottom w:w="88" w:type="dxa"/>
              <w:right w:w="88" w:type="dxa"/>
            </w:tcMar>
          </w:tcPr>
          <w:p w:rsidR="003A22A9" w:rsidRPr="00E85451" w:rsidRDefault="003A22A9" w:rsidP="00536330">
            <w:pPr>
              <w:ind w:right="-154"/>
              <w:rPr>
                <w:rFonts w:ascii="Arial" w:hAnsi="Arial" w:cs="Arial"/>
                <w:color w:val="auto"/>
                <w:sz w:val="22"/>
                <w:szCs w:val="22"/>
              </w:rPr>
            </w:pPr>
            <w:r w:rsidRPr="00E85451">
              <w:rPr>
                <w:rFonts w:ascii="Arial" w:hAnsi="Arial" w:cs="Arial"/>
                <w:color w:val="auto"/>
                <w:sz w:val="22"/>
                <w:szCs w:val="22"/>
              </w:rPr>
              <w:t>U</w:t>
            </w:r>
            <w:r w:rsidR="00F57716" w:rsidRPr="00E85451">
              <w:rPr>
                <w:rFonts w:ascii="Arial" w:hAnsi="Arial" w:cs="Arial"/>
                <w:color w:val="auto"/>
                <w:sz w:val="22"/>
                <w:szCs w:val="22"/>
              </w:rPr>
              <w:t>kupno</w:t>
            </w:r>
            <w:r w:rsidRPr="00E85451">
              <w:rPr>
                <w:rFonts w:ascii="Arial" w:hAnsi="Arial" w:cs="Arial"/>
                <w:color w:val="auto"/>
                <w:sz w:val="22"/>
                <w:szCs w:val="22"/>
              </w:rPr>
              <w:t xml:space="preserve"> </w:t>
            </w:r>
            <w:r w:rsidR="00F57716" w:rsidRPr="00E85451">
              <w:rPr>
                <w:rFonts w:ascii="Arial" w:hAnsi="Arial" w:cs="Arial"/>
                <w:color w:val="auto"/>
                <w:sz w:val="22"/>
                <w:szCs w:val="22"/>
              </w:rPr>
              <w:t>utrošena sredst</w:t>
            </w:r>
            <w:r w:rsidRPr="00E85451">
              <w:rPr>
                <w:rFonts w:ascii="Arial" w:hAnsi="Arial" w:cs="Arial"/>
                <w:color w:val="auto"/>
                <w:sz w:val="22"/>
                <w:szCs w:val="22"/>
              </w:rPr>
              <w:t>va</w:t>
            </w:r>
          </w:p>
        </w:tc>
        <w:tc>
          <w:tcPr>
            <w:tcW w:w="8220" w:type="dxa"/>
            <w:tcMar>
              <w:top w:w="88" w:type="dxa"/>
              <w:left w:w="88" w:type="dxa"/>
              <w:bottom w:w="88" w:type="dxa"/>
              <w:right w:w="88" w:type="dxa"/>
            </w:tcMar>
          </w:tcPr>
          <w:p w:rsidR="003A22A9" w:rsidRPr="00E85451" w:rsidRDefault="00F57716" w:rsidP="007A7132">
            <w:pPr>
              <w:rPr>
                <w:rFonts w:ascii="Arial" w:hAnsi="Arial" w:cs="Arial"/>
                <w:color w:val="auto"/>
                <w:sz w:val="22"/>
                <w:szCs w:val="22"/>
              </w:rPr>
            </w:pPr>
            <w:r w:rsidRPr="00E85451">
              <w:rPr>
                <w:rFonts w:ascii="Arial" w:hAnsi="Arial" w:cs="Arial"/>
                <w:color w:val="auto"/>
                <w:sz w:val="22"/>
                <w:szCs w:val="22"/>
              </w:rPr>
              <w:t>20.280,00 kn</w:t>
            </w:r>
          </w:p>
        </w:tc>
      </w:tr>
      <w:tr w:rsidR="00E85451" w:rsidRPr="00E85451" w:rsidTr="008D30CE">
        <w:tc>
          <w:tcPr>
            <w:tcW w:w="1560" w:type="dxa"/>
            <w:tcMar>
              <w:top w:w="88" w:type="dxa"/>
              <w:left w:w="88" w:type="dxa"/>
              <w:bottom w:w="88" w:type="dxa"/>
              <w:right w:w="88" w:type="dxa"/>
            </w:tcMar>
          </w:tcPr>
          <w:p w:rsidR="003A22A9" w:rsidRPr="00E85451" w:rsidRDefault="003A22A9" w:rsidP="003A22A9">
            <w:pPr>
              <w:ind w:right="-154"/>
              <w:rPr>
                <w:rFonts w:ascii="Arial" w:hAnsi="Arial" w:cs="Arial"/>
                <w:color w:val="auto"/>
                <w:sz w:val="22"/>
                <w:szCs w:val="22"/>
              </w:rPr>
            </w:pPr>
            <w:r w:rsidRPr="00E85451">
              <w:rPr>
                <w:rFonts w:ascii="Arial" w:hAnsi="Arial" w:cs="Arial"/>
                <w:color w:val="auto"/>
                <w:sz w:val="22"/>
                <w:szCs w:val="22"/>
              </w:rPr>
              <w:t>Promotivne, informativne i potporne aktivnosti</w:t>
            </w:r>
          </w:p>
        </w:tc>
        <w:tc>
          <w:tcPr>
            <w:tcW w:w="8220" w:type="dxa"/>
            <w:tcMar>
              <w:top w:w="88" w:type="dxa"/>
              <w:left w:w="88" w:type="dxa"/>
              <w:bottom w:w="88" w:type="dxa"/>
              <w:right w:w="88" w:type="dxa"/>
            </w:tcMar>
          </w:tcPr>
          <w:p w:rsidR="003A22A9" w:rsidRPr="00E85451" w:rsidRDefault="003A22A9" w:rsidP="007A7132">
            <w:pPr>
              <w:jc w:val="both"/>
              <w:rPr>
                <w:rFonts w:ascii="Arial" w:hAnsi="Arial" w:cs="Arial"/>
                <w:color w:val="auto"/>
                <w:sz w:val="22"/>
                <w:szCs w:val="22"/>
              </w:rPr>
            </w:pPr>
            <w:r w:rsidRPr="00E85451">
              <w:rPr>
                <w:rFonts w:ascii="Arial" w:hAnsi="Arial" w:cs="Arial"/>
                <w:color w:val="auto"/>
                <w:sz w:val="22"/>
                <w:szCs w:val="22"/>
              </w:rPr>
              <w:t xml:space="preserve">Europska oznaka jezika je predstavljena na svečanoj dodjeli nagrada 26. rujna u okviru Europskog dana jezika. </w:t>
            </w:r>
            <w:r w:rsidR="00536330" w:rsidRPr="00E85451">
              <w:rPr>
                <w:rFonts w:ascii="Arial" w:hAnsi="Arial" w:cs="Arial"/>
                <w:color w:val="auto"/>
                <w:sz w:val="22"/>
                <w:szCs w:val="22"/>
              </w:rPr>
              <w:t xml:space="preserve">Sve informacije o inicijativi dostupne su na mrežnim stranicama Agencije </w:t>
            </w:r>
            <w:r w:rsidRPr="00E85451">
              <w:rPr>
                <w:rFonts w:ascii="Arial" w:hAnsi="Arial" w:cs="Arial"/>
                <w:color w:val="auto"/>
                <w:sz w:val="22"/>
                <w:szCs w:val="22"/>
              </w:rPr>
              <w:t xml:space="preserve">te su </w:t>
            </w:r>
            <w:r w:rsidR="00536330" w:rsidRPr="00E85451">
              <w:rPr>
                <w:rFonts w:ascii="Arial" w:hAnsi="Arial" w:cs="Arial"/>
                <w:color w:val="auto"/>
                <w:sz w:val="22"/>
                <w:szCs w:val="22"/>
              </w:rPr>
              <w:t xml:space="preserve">podaci o nagrađenim prijaviteljima uključeni </w:t>
            </w:r>
            <w:r w:rsidRPr="00E85451">
              <w:rPr>
                <w:rFonts w:ascii="Arial" w:hAnsi="Arial" w:cs="Arial"/>
                <w:color w:val="auto"/>
                <w:sz w:val="22"/>
                <w:szCs w:val="22"/>
              </w:rPr>
              <w:t>u bazu</w:t>
            </w:r>
            <w:r w:rsidR="00620BAA" w:rsidRPr="00E85451">
              <w:rPr>
                <w:rFonts w:ascii="Arial" w:hAnsi="Arial" w:cs="Arial"/>
                <w:color w:val="auto"/>
                <w:sz w:val="22"/>
                <w:szCs w:val="22"/>
              </w:rPr>
              <w:t xml:space="preserve"> Europske unije</w:t>
            </w:r>
            <w:r w:rsidRPr="00E85451">
              <w:rPr>
                <w:rFonts w:ascii="Arial" w:hAnsi="Arial" w:cs="Arial"/>
                <w:color w:val="auto"/>
                <w:sz w:val="22"/>
                <w:szCs w:val="22"/>
              </w:rPr>
              <w:t>.</w:t>
            </w:r>
          </w:p>
          <w:p w:rsidR="007E4E76" w:rsidRPr="00E85451" w:rsidRDefault="007E4E76" w:rsidP="007A7132">
            <w:pPr>
              <w:jc w:val="both"/>
              <w:rPr>
                <w:rFonts w:ascii="Arial" w:hAnsi="Arial" w:cs="Arial"/>
                <w:color w:val="auto"/>
                <w:sz w:val="22"/>
                <w:szCs w:val="22"/>
              </w:rPr>
            </w:pPr>
          </w:p>
          <w:p w:rsidR="007E4E76" w:rsidRPr="00E85451" w:rsidRDefault="007E4E76" w:rsidP="007A7132">
            <w:pPr>
              <w:jc w:val="both"/>
              <w:rPr>
                <w:rFonts w:ascii="Arial" w:hAnsi="Arial" w:cs="Arial"/>
                <w:color w:val="auto"/>
                <w:sz w:val="22"/>
                <w:szCs w:val="22"/>
              </w:rPr>
            </w:pPr>
          </w:p>
        </w:tc>
      </w:tr>
    </w:tbl>
    <w:p w:rsidR="003A22A9" w:rsidRPr="00E85451" w:rsidRDefault="003A22A9" w:rsidP="00F74C0A">
      <w:pPr>
        <w:ind w:right="-154"/>
        <w:rPr>
          <w:rFonts w:ascii="Arial" w:hAnsi="Arial" w:cs="Arial"/>
          <w:color w:val="auto"/>
          <w:sz w:val="22"/>
          <w:szCs w:val="22"/>
        </w:rPr>
      </w:pPr>
    </w:p>
    <w:p w:rsidR="002E5653" w:rsidRPr="000F3158" w:rsidRDefault="00521887" w:rsidP="00601741">
      <w:pPr>
        <w:pStyle w:val="Heading2"/>
        <w:rPr>
          <w:rFonts w:ascii="Arial" w:hAnsi="Arial" w:cs="Arial"/>
          <w:color w:val="auto"/>
          <w:sz w:val="24"/>
          <w:szCs w:val="24"/>
        </w:rPr>
      </w:pPr>
      <w:bookmarkStart w:id="11" w:name="_Toc419192153"/>
      <w:r w:rsidRPr="000F3158">
        <w:rPr>
          <w:rFonts w:ascii="Arial" w:hAnsi="Arial" w:cs="Arial"/>
          <w:color w:val="auto"/>
          <w:sz w:val="24"/>
          <w:szCs w:val="24"/>
        </w:rPr>
        <w:t>2.2</w:t>
      </w:r>
      <w:r w:rsidR="00923EE2" w:rsidRPr="000F3158">
        <w:rPr>
          <w:rFonts w:ascii="Arial" w:hAnsi="Arial" w:cs="Arial"/>
          <w:color w:val="auto"/>
          <w:sz w:val="24"/>
          <w:szCs w:val="24"/>
        </w:rPr>
        <w:t>. Program za cjeloživotno učenje</w:t>
      </w:r>
      <w:bookmarkEnd w:id="11"/>
    </w:p>
    <w:p w:rsidR="007E4E76" w:rsidRPr="00E85451" w:rsidRDefault="007E4E76" w:rsidP="00F90C85">
      <w:pPr>
        <w:pStyle w:val="NormalWeb"/>
        <w:jc w:val="both"/>
        <w:rPr>
          <w:rFonts w:ascii="Arial" w:hAnsi="Arial" w:cs="Arial"/>
          <w:color w:val="auto"/>
          <w:sz w:val="22"/>
          <w:szCs w:val="22"/>
        </w:rPr>
      </w:pPr>
    </w:p>
    <w:p w:rsidR="00F90C85" w:rsidRPr="00E85451" w:rsidRDefault="00F90C85" w:rsidP="00F90C85">
      <w:pPr>
        <w:pStyle w:val="NormalWeb"/>
        <w:jc w:val="both"/>
        <w:rPr>
          <w:rFonts w:ascii="Arial" w:hAnsi="Arial" w:cs="Arial"/>
          <w:color w:val="auto"/>
          <w:sz w:val="22"/>
          <w:szCs w:val="22"/>
        </w:rPr>
      </w:pPr>
      <w:r w:rsidRPr="00E85451">
        <w:rPr>
          <w:rFonts w:ascii="Arial" w:hAnsi="Arial" w:cs="Arial"/>
          <w:color w:val="auto"/>
          <w:sz w:val="22"/>
          <w:szCs w:val="22"/>
        </w:rPr>
        <w:t xml:space="preserve">Agencija za mobilnost i programe Europske unije bila je akreditirana pri Europskoj komisiji za provedbu najvećeg programa Europske unije u području obrazovanja - Programa za cjeloživotno učenje koji je pokrivao razdoblje od 2007. do 2013. godine. </w:t>
      </w:r>
    </w:p>
    <w:p w:rsidR="00F90C85" w:rsidRPr="00E85451" w:rsidRDefault="00B01108" w:rsidP="00F90C85">
      <w:pPr>
        <w:jc w:val="both"/>
        <w:rPr>
          <w:rFonts w:ascii="Arial" w:hAnsi="Arial" w:cs="Arial"/>
          <w:color w:val="auto"/>
          <w:sz w:val="22"/>
          <w:szCs w:val="22"/>
        </w:rPr>
      </w:pPr>
      <w:r w:rsidRPr="00E85451">
        <w:rPr>
          <w:rFonts w:ascii="Arial" w:hAnsi="Arial" w:cs="Arial"/>
          <w:color w:val="auto"/>
          <w:sz w:val="22"/>
          <w:szCs w:val="22"/>
        </w:rPr>
        <w:t>M</w:t>
      </w:r>
      <w:r w:rsidR="00F90C85" w:rsidRPr="00E85451">
        <w:rPr>
          <w:rFonts w:ascii="Arial" w:hAnsi="Arial" w:cs="Arial"/>
          <w:color w:val="auto"/>
          <w:sz w:val="22"/>
          <w:szCs w:val="22"/>
        </w:rPr>
        <w:t xml:space="preserve">eđutim s obzirom na trajanje pojedinih aktivnosti, dio aktivnosti Programa za cjeloživotno učenje provodio </w:t>
      </w:r>
      <w:r w:rsidRPr="00E85451">
        <w:rPr>
          <w:rFonts w:ascii="Arial" w:hAnsi="Arial" w:cs="Arial"/>
          <w:color w:val="auto"/>
          <w:sz w:val="22"/>
          <w:szCs w:val="22"/>
        </w:rPr>
        <w:t xml:space="preserve">se </w:t>
      </w:r>
      <w:r w:rsidR="00F90C85" w:rsidRPr="00E85451">
        <w:rPr>
          <w:rFonts w:ascii="Arial" w:hAnsi="Arial" w:cs="Arial"/>
          <w:color w:val="auto"/>
          <w:sz w:val="22"/>
          <w:szCs w:val="22"/>
        </w:rPr>
        <w:t>i u 2014. godini:</w:t>
      </w:r>
    </w:p>
    <w:p w:rsidR="00F90C85" w:rsidRPr="00E85451" w:rsidRDefault="00F90C85" w:rsidP="00F90C85">
      <w:pPr>
        <w:pStyle w:val="NormalWeb"/>
        <w:widowControl/>
        <w:numPr>
          <w:ilvl w:val="0"/>
          <w:numId w:val="16"/>
        </w:numPr>
        <w:spacing w:before="100" w:beforeAutospacing="1" w:after="100" w:afterAutospacing="1"/>
        <w:jc w:val="both"/>
        <w:rPr>
          <w:rFonts w:ascii="Arial" w:hAnsi="Arial" w:cs="Arial"/>
          <w:color w:val="auto"/>
          <w:sz w:val="22"/>
          <w:szCs w:val="22"/>
        </w:rPr>
      </w:pPr>
      <w:r w:rsidRPr="00E85451">
        <w:rPr>
          <w:rFonts w:ascii="Arial" w:hAnsi="Arial" w:cs="Arial"/>
          <w:color w:val="auto"/>
          <w:sz w:val="22"/>
          <w:szCs w:val="22"/>
        </w:rPr>
        <w:t>304 analiza završnih izvješća projekata iz 2011., 2012. i 2013. natječajne godine te isplate završnog dijela financijskih potpora (1.274.437,04 EUR)</w:t>
      </w:r>
    </w:p>
    <w:p w:rsidR="00F90C85" w:rsidRPr="00E85451" w:rsidRDefault="00F90C85" w:rsidP="00F90C85">
      <w:pPr>
        <w:pStyle w:val="NormalWeb"/>
        <w:numPr>
          <w:ilvl w:val="0"/>
          <w:numId w:val="16"/>
        </w:numPr>
        <w:jc w:val="both"/>
        <w:rPr>
          <w:rFonts w:ascii="Arial" w:hAnsi="Arial" w:cs="Arial"/>
          <w:color w:val="auto"/>
          <w:sz w:val="22"/>
          <w:szCs w:val="22"/>
        </w:rPr>
      </w:pPr>
      <w:r w:rsidRPr="00E85451">
        <w:rPr>
          <w:rFonts w:ascii="Arial" w:hAnsi="Arial" w:cs="Arial"/>
          <w:color w:val="auto"/>
          <w:sz w:val="22"/>
          <w:szCs w:val="22"/>
        </w:rPr>
        <w:t>29 posjeta korisničkim organizacijama radi provjera na licu mjesta (4 u Grundtvig programu, 8 u Comenius programu, 1 u Erasmus programu i 16 u Leonardo da Vinci programu)</w:t>
      </w:r>
    </w:p>
    <w:p w:rsidR="00F90C85" w:rsidRPr="00E85451" w:rsidRDefault="00F90C85" w:rsidP="00F90C85">
      <w:pPr>
        <w:pStyle w:val="NormalWeb"/>
        <w:numPr>
          <w:ilvl w:val="0"/>
          <w:numId w:val="16"/>
        </w:numPr>
        <w:jc w:val="both"/>
        <w:rPr>
          <w:rFonts w:ascii="Arial" w:hAnsi="Arial" w:cs="Arial"/>
          <w:color w:val="auto"/>
          <w:sz w:val="22"/>
          <w:szCs w:val="22"/>
        </w:rPr>
      </w:pPr>
      <w:r w:rsidRPr="00E85451">
        <w:rPr>
          <w:rFonts w:ascii="Arial" w:hAnsi="Arial" w:cs="Arial"/>
          <w:color w:val="auto"/>
          <w:sz w:val="22"/>
          <w:szCs w:val="22"/>
        </w:rPr>
        <w:t>23 posjeta korisničkim organizacijama radi praćenja projekata (4 u Grundtvig programu, 8 u Comenius programu i 11 u Leonardo da Vinci programu)</w:t>
      </w:r>
    </w:p>
    <w:p w:rsidR="00F90C85" w:rsidRPr="00E85451" w:rsidRDefault="00F90C85" w:rsidP="00F90C85">
      <w:pPr>
        <w:pStyle w:val="NormalWeb"/>
        <w:numPr>
          <w:ilvl w:val="0"/>
          <w:numId w:val="16"/>
        </w:numPr>
        <w:jc w:val="both"/>
        <w:rPr>
          <w:rFonts w:ascii="Arial" w:hAnsi="Arial" w:cs="Arial"/>
          <w:color w:val="auto"/>
          <w:sz w:val="22"/>
          <w:szCs w:val="22"/>
        </w:rPr>
      </w:pPr>
      <w:r w:rsidRPr="00E85451">
        <w:rPr>
          <w:rFonts w:ascii="Arial" w:hAnsi="Arial" w:cs="Arial"/>
          <w:color w:val="auto"/>
          <w:sz w:val="22"/>
          <w:szCs w:val="22"/>
        </w:rPr>
        <w:t>analize privremenih izvješća projekata iz 2013. natječajne godine</w:t>
      </w:r>
    </w:p>
    <w:p w:rsidR="00F90C85" w:rsidRPr="00E85451" w:rsidRDefault="00023E1B" w:rsidP="00F90C85">
      <w:pPr>
        <w:pStyle w:val="NormalWeb"/>
        <w:numPr>
          <w:ilvl w:val="0"/>
          <w:numId w:val="16"/>
        </w:numPr>
        <w:jc w:val="both"/>
        <w:rPr>
          <w:rFonts w:ascii="Arial" w:hAnsi="Arial" w:cs="Arial"/>
          <w:color w:val="auto"/>
          <w:sz w:val="22"/>
          <w:szCs w:val="22"/>
        </w:rPr>
      </w:pPr>
      <w:r>
        <w:rPr>
          <w:rFonts w:ascii="Arial" w:hAnsi="Arial" w:cs="Arial"/>
          <w:color w:val="auto"/>
          <w:sz w:val="22"/>
          <w:szCs w:val="22"/>
        </w:rPr>
        <w:lastRenderedPageBreak/>
        <w:t>34 projek</w:t>
      </w:r>
      <w:r w:rsidR="00F90C85" w:rsidRPr="00E85451">
        <w:rPr>
          <w:rFonts w:ascii="Arial" w:hAnsi="Arial" w:cs="Arial"/>
          <w:color w:val="auto"/>
          <w:sz w:val="22"/>
          <w:szCs w:val="22"/>
        </w:rPr>
        <w:t>ta iz 2013. natječajne godine ugovoreno je u 2014. g.</w:t>
      </w:r>
    </w:p>
    <w:p w:rsidR="00F90C85" w:rsidRPr="00E85451" w:rsidRDefault="00F90C85" w:rsidP="00F90C85">
      <w:pPr>
        <w:pStyle w:val="NormalWeb"/>
        <w:widowControl/>
        <w:numPr>
          <w:ilvl w:val="0"/>
          <w:numId w:val="16"/>
        </w:numPr>
        <w:spacing w:before="100" w:beforeAutospacing="1" w:after="100" w:afterAutospacing="1"/>
        <w:jc w:val="both"/>
        <w:rPr>
          <w:rFonts w:ascii="Arial" w:hAnsi="Arial" w:cs="Arial"/>
          <w:color w:val="auto"/>
          <w:sz w:val="22"/>
          <w:szCs w:val="22"/>
        </w:rPr>
      </w:pPr>
      <w:r w:rsidRPr="00E85451">
        <w:rPr>
          <w:rFonts w:ascii="Arial" w:hAnsi="Arial" w:cs="Arial"/>
          <w:color w:val="auto"/>
          <w:sz w:val="22"/>
          <w:szCs w:val="22"/>
        </w:rPr>
        <w:t>identifikacija primjera dobre prakse i njihova diseminacija ciljnim skupinama</w:t>
      </w:r>
      <w:r w:rsidR="00B01108" w:rsidRPr="00E85451">
        <w:rPr>
          <w:rFonts w:ascii="Arial" w:hAnsi="Arial" w:cs="Arial"/>
          <w:color w:val="auto"/>
          <w:sz w:val="22"/>
          <w:szCs w:val="22"/>
        </w:rPr>
        <w:t>.</w:t>
      </w:r>
    </w:p>
    <w:p w:rsidR="00F90C85" w:rsidRPr="00E85451" w:rsidRDefault="00F90C85" w:rsidP="00F90C85">
      <w:pPr>
        <w:pStyle w:val="NormalWeb"/>
        <w:jc w:val="both"/>
        <w:rPr>
          <w:rFonts w:ascii="Arial" w:hAnsi="Arial" w:cs="Arial"/>
          <w:color w:val="auto"/>
          <w:sz w:val="22"/>
          <w:szCs w:val="22"/>
        </w:rPr>
      </w:pPr>
      <w:r w:rsidRPr="00E85451">
        <w:rPr>
          <w:rFonts w:ascii="Arial" w:hAnsi="Arial" w:cs="Arial"/>
          <w:color w:val="auto"/>
          <w:sz w:val="22"/>
          <w:szCs w:val="22"/>
        </w:rPr>
        <w:t>Godišnje izvješće za provedbu Programa za cjeloživotno učenje za 2014. godinu poslano je u okviru izvješća za program Erasmus+, Europskoj komisiji u veljači 2015. godine. Očekuje se da će svi projekti u okviru Programa za cjeloživotno učenje biti zaključeni tijekom 2016. godine.</w:t>
      </w:r>
    </w:p>
    <w:p w:rsidR="007E4E76" w:rsidRPr="000F3158" w:rsidRDefault="00521887" w:rsidP="00601741">
      <w:pPr>
        <w:pStyle w:val="Heading2"/>
        <w:rPr>
          <w:rFonts w:ascii="Arial" w:hAnsi="Arial" w:cs="Arial"/>
          <w:color w:val="auto"/>
          <w:sz w:val="24"/>
          <w:szCs w:val="24"/>
        </w:rPr>
      </w:pPr>
      <w:bookmarkStart w:id="12" w:name="h.1t3h5sf" w:colFirst="0" w:colLast="0"/>
      <w:bookmarkStart w:id="13" w:name="_Toc419192154"/>
      <w:bookmarkEnd w:id="12"/>
      <w:r w:rsidRPr="000F3158">
        <w:rPr>
          <w:rFonts w:ascii="Arial" w:hAnsi="Arial" w:cs="Arial"/>
          <w:color w:val="auto"/>
          <w:sz w:val="24"/>
          <w:szCs w:val="24"/>
        </w:rPr>
        <w:t>2.3</w:t>
      </w:r>
      <w:r w:rsidR="00923EE2" w:rsidRPr="000F3158">
        <w:rPr>
          <w:rFonts w:ascii="Arial" w:hAnsi="Arial" w:cs="Arial"/>
          <w:color w:val="auto"/>
          <w:sz w:val="24"/>
          <w:szCs w:val="24"/>
        </w:rPr>
        <w:t>. Program Mladi na djelu</w:t>
      </w:r>
      <w:bookmarkEnd w:id="13"/>
    </w:p>
    <w:p w:rsidR="007E4E76" w:rsidRPr="00E85451" w:rsidRDefault="007E4E76" w:rsidP="00AC47C6">
      <w:pPr>
        <w:ind w:right="-8"/>
        <w:jc w:val="both"/>
        <w:rPr>
          <w:rFonts w:ascii="Arial" w:hAnsi="Arial" w:cs="Arial"/>
          <w:color w:val="auto"/>
          <w:sz w:val="22"/>
          <w:szCs w:val="22"/>
        </w:rPr>
      </w:pPr>
    </w:p>
    <w:p w:rsidR="00AC47C6" w:rsidRPr="00E85451" w:rsidRDefault="00AC47C6" w:rsidP="00AC47C6">
      <w:pPr>
        <w:ind w:right="-8"/>
        <w:jc w:val="both"/>
        <w:rPr>
          <w:rFonts w:ascii="Arial" w:hAnsi="Arial" w:cs="Arial"/>
          <w:color w:val="auto"/>
          <w:sz w:val="22"/>
          <w:szCs w:val="22"/>
        </w:rPr>
      </w:pPr>
      <w:r w:rsidRPr="00E85451">
        <w:rPr>
          <w:rFonts w:ascii="Arial" w:hAnsi="Arial" w:cs="Arial"/>
          <w:color w:val="auto"/>
          <w:sz w:val="22"/>
          <w:szCs w:val="22"/>
        </w:rPr>
        <w:t xml:space="preserve">Agencija za mobilnost i programe Europske unije bila je akreditirana pri Europskoj komisiji za provedbu najvećeg programa Europske unije u području mladih – Mladi na djelu koji je pokrivao razdoblje od 2007. do 2013. godine. </w:t>
      </w:r>
    </w:p>
    <w:p w:rsidR="00AC47C6" w:rsidRPr="00E85451" w:rsidRDefault="00B01108" w:rsidP="00AC47C6">
      <w:pPr>
        <w:ind w:right="-8"/>
        <w:jc w:val="both"/>
        <w:rPr>
          <w:rFonts w:ascii="Arial" w:hAnsi="Arial" w:cs="Arial"/>
          <w:color w:val="auto"/>
          <w:sz w:val="22"/>
          <w:szCs w:val="22"/>
        </w:rPr>
      </w:pPr>
      <w:r w:rsidRPr="00E85451">
        <w:rPr>
          <w:rFonts w:ascii="Arial" w:hAnsi="Arial" w:cs="Arial"/>
          <w:color w:val="auto"/>
          <w:sz w:val="22"/>
          <w:szCs w:val="22"/>
        </w:rPr>
        <w:t>M</w:t>
      </w:r>
      <w:r w:rsidR="00AC47C6" w:rsidRPr="00E85451">
        <w:rPr>
          <w:rFonts w:ascii="Arial" w:hAnsi="Arial" w:cs="Arial"/>
          <w:color w:val="auto"/>
          <w:sz w:val="22"/>
          <w:szCs w:val="22"/>
        </w:rPr>
        <w:t xml:space="preserve">eđutim s obzirom na trajanje pojedinih aktivnosti, dio aktivnosti Programa Mladi na djelu provodio </w:t>
      </w:r>
      <w:r w:rsidRPr="00E85451">
        <w:rPr>
          <w:rFonts w:ascii="Arial" w:hAnsi="Arial" w:cs="Arial"/>
          <w:color w:val="auto"/>
          <w:sz w:val="22"/>
          <w:szCs w:val="22"/>
        </w:rPr>
        <w:t xml:space="preserve">se </w:t>
      </w:r>
      <w:r w:rsidR="00AC47C6" w:rsidRPr="00E85451">
        <w:rPr>
          <w:rFonts w:ascii="Arial" w:hAnsi="Arial" w:cs="Arial"/>
          <w:color w:val="auto"/>
          <w:sz w:val="22"/>
          <w:szCs w:val="22"/>
        </w:rPr>
        <w:t>i u 2014. godini:</w:t>
      </w:r>
    </w:p>
    <w:p w:rsidR="00AC47C6" w:rsidRPr="00E85451" w:rsidRDefault="00AC47C6" w:rsidP="00AC47C6">
      <w:pPr>
        <w:ind w:right="-8"/>
        <w:jc w:val="both"/>
        <w:rPr>
          <w:rFonts w:ascii="Arial" w:hAnsi="Arial" w:cs="Arial"/>
          <w:color w:val="auto"/>
          <w:sz w:val="22"/>
          <w:szCs w:val="22"/>
        </w:rPr>
      </w:pPr>
    </w:p>
    <w:p w:rsidR="00AC47C6" w:rsidRPr="00E85451" w:rsidRDefault="00AC47C6" w:rsidP="00AC47C6">
      <w:pPr>
        <w:ind w:right="-8" w:firstLine="708"/>
        <w:jc w:val="both"/>
        <w:rPr>
          <w:rFonts w:ascii="Arial" w:hAnsi="Arial" w:cs="Arial"/>
          <w:color w:val="auto"/>
          <w:sz w:val="22"/>
          <w:szCs w:val="22"/>
        </w:rPr>
      </w:pPr>
      <w:r w:rsidRPr="00E85451">
        <w:rPr>
          <w:rFonts w:ascii="Arial" w:hAnsi="Arial" w:cs="Arial"/>
          <w:color w:val="auto"/>
          <w:sz w:val="22"/>
          <w:szCs w:val="22"/>
        </w:rPr>
        <w:t xml:space="preserve">- </w:t>
      </w:r>
      <w:r w:rsidR="00DF4D68" w:rsidRPr="00E85451">
        <w:rPr>
          <w:rFonts w:ascii="Arial" w:hAnsi="Arial" w:cs="Arial"/>
          <w:color w:val="auto"/>
          <w:sz w:val="22"/>
          <w:szCs w:val="22"/>
        </w:rPr>
        <w:t>114</w:t>
      </w:r>
      <w:r w:rsidRPr="00E85451">
        <w:rPr>
          <w:rFonts w:ascii="Arial" w:hAnsi="Arial" w:cs="Arial"/>
          <w:color w:val="auto"/>
          <w:sz w:val="22"/>
          <w:szCs w:val="22"/>
        </w:rPr>
        <w:t xml:space="preserve"> analiza završnih izvješća projekata iz 2011., 2012. i 2013. natječajne godine te isplate završnog dijela financijskih potpora (</w:t>
      </w:r>
      <w:r w:rsidR="00DF4D68" w:rsidRPr="00E85451">
        <w:rPr>
          <w:rFonts w:ascii="Arial" w:hAnsi="Arial" w:cs="Arial"/>
          <w:color w:val="auto"/>
          <w:sz w:val="22"/>
          <w:szCs w:val="22"/>
        </w:rPr>
        <w:t>164.622,77</w:t>
      </w:r>
      <w:r w:rsidRPr="00E85451">
        <w:rPr>
          <w:rFonts w:ascii="Arial" w:hAnsi="Arial" w:cs="Arial"/>
          <w:color w:val="auto"/>
          <w:sz w:val="22"/>
          <w:szCs w:val="22"/>
        </w:rPr>
        <w:t xml:space="preserve"> EUR)</w:t>
      </w:r>
    </w:p>
    <w:p w:rsidR="00290C1B" w:rsidRPr="00E85451" w:rsidRDefault="00AC47C6" w:rsidP="00AC47C6">
      <w:pPr>
        <w:ind w:right="-8" w:firstLine="708"/>
        <w:jc w:val="both"/>
        <w:rPr>
          <w:rFonts w:ascii="Arial" w:hAnsi="Arial" w:cs="Arial"/>
          <w:color w:val="auto"/>
          <w:sz w:val="22"/>
          <w:szCs w:val="22"/>
        </w:rPr>
      </w:pPr>
      <w:r w:rsidRPr="00E85451">
        <w:rPr>
          <w:rFonts w:ascii="Arial" w:hAnsi="Arial" w:cs="Arial"/>
          <w:color w:val="auto"/>
          <w:sz w:val="22"/>
          <w:szCs w:val="22"/>
        </w:rPr>
        <w:t xml:space="preserve">- </w:t>
      </w:r>
      <w:r w:rsidR="00DF4D68" w:rsidRPr="00E85451">
        <w:rPr>
          <w:rFonts w:ascii="Arial" w:hAnsi="Arial" w:cs="Arial"/>
          <w:color w:val="auto"/>
          <w:sz w:val="22"/>
          <w:szCs w:val="22"/>
        </w:rPr>
        <w:t>28</w:t>
      </w:r>
      <w:r w:rsidRPr="00E85451">
        <w:rPr>
          <w:rFonts w:ascii="Arial" w:hAnsi="Arial" w:cs="Arial"/>
          <w:color w:val="auto"/>
          <w:sz w:val="22"/>
          <w:szCs w:val="22"/>
        </w:rPr>
        <w:t xml:space="preserve"> posjeta korisničkim organizacijama radi provjera na licu mjesta</w:t>
      </w:r>
    </w:p>
    <w:p w:rsidR="00AC47C6" w:rsidRPr="00E85451" w:rsidRDefault="00290C1B" w:rsidP="00AC47C6">
      <w:pPr>
        <w:ind w:right="-8" w:firstLine="708"/>
        <w:jc w:val="both"/>
        <w:rPr>
          <w:rFonts w:ascii="Arial" w:hAnsi="Arial" w:cs="Arial"/>
          <w:color w:val="auto"/>
          <w:sz w:val="22"/>
          <w:szCs w:val="22"/>
        </w:rPr>
      </w:pPr>
      <w:r w:rsidRPr="00E85451">
        <w:rPr>
          <w:rFonts w:ascii="Arial" w:hAnsi="Arial" w:cs="Arial"/>
          <w:color w:val="auto"/>
          <w:sz w:val="22"/>
          <w:szCs w:val="22"/>
        </w:rPr>
        <w:t>- 25 projekata iz 2013. natječajne godine ugovoreno je u 2014. g.</w:t>
      </w:r>
    </w:p>
    <w:p w:rsidR="00750D15" w:rsidRPr="00E85451" w:rsidRDefault="00750D15" w:rsidP="00750D15">
      <w:pPr>
        <w:ind w:right="-8" w:firstLine="708"/>
        <w:jc w:val="both"/>
        <w:rPr>
          <w:rFonts w:ascii="Arial" w:hAnsi="Arial" w:cs="Arial"/>
          <w:color w:val="auto"/>
          <w:sz w:val="22"/>
          <w:szCs w:val="22"/>
        </w:rPr>
      </w:pPr>
      <w:r w:rsidRPr="00E85451">
        <w:rPr>
          <w:rFonts w:ascii="Arial" w:hAnsi="Arial" w:cs="Arial"/>
          <w:color w:val="auto"/>
          <w:sz w:val="22"/>
          <w:szCs w:val="22"/>
        </w:rPr>
        <w:t xml:space="preserve">- u okviru TCP-a (Plan osposobljavanja i suradnje) u organizaciji Agencije održana 2 nacionalna osposobljavanja, 1 međunarodno osposobljavanje te omogućeno sudjelovanje sudionika iz Hrvatske na 19 međunarodnih </w:t>
      </w:r>
      <w:r w:rsidR="00802E39">
        <w:rPr>
          <w:rFonts w:ascii="Arial" w:hAnsi="Arial" w:cs="Arial"/>
          <w:color w:val="auto"/>
          <w:sz w:val="22"/>
          <w:szCs w:val="22"/>
        </w:rPr>
        <w:t>osposobljavanja</w:t>
      </w:r>
      <w:r w:rsidR="00802E39" w:rsidRPr="00E85451">
        <w:rPr>
          <w:rFonts w:ascii="Arial" w:hAnsi="Arial" w:cs="Arial"/>
          <w:color w:val="auto"/>
          <w:sz w:val="22"/>
          <w:szCs w:val="22"/>
        </w:rPr>
        <w:t xml:space="preserve"> </w:t>
      </w:r>
      <w:r w:rsidRPr="00E85451">
        <w:rPr>
          <w:rFonts w:ascii="Arial" w:hAnsi="Arial" w:cs="Arial"/>
          <w:color w:val="auto"/>
          <w:sz w:val="22"/>
          <w:szCs w:val="22"/>
        </w:rPr>
        <w:t>u organizaciji drugih nacionalnih Agencija i/ili Salto resursnih centara</w:t>
      </w:r>
    </w:p>
    <w:p w:rsidR="00AC47C6" w:rsidRPr="00E85451" w:rsidRDefault="00AC47C6" w:rsidP="00AC47C6">
      <w:pPr>
        <w:ind w:right="-8" w:firstLine="708"/>
        <w:jc w:val="both"/>
        <w:rPr>
          <w:rFonts w:ascii="Arial" w:hAnsi="Arial" w:cs="Arial"/>
          <w:color w:val="auto"/>
          <w:sz w:val="22"/>
          <w:szCs w:val="22"/>
        </w:rPr>
      </w:pPr>
      <w:r w:rsidRPr="00E85451">
        <w:rPr>
          <w:rFonts w:ascii="Arial" w:hAnsi="Arial" w:cs="Arial"/>
          <w:color w:val="auto"/>
          <w:sz w:val="22"/>
          <w:szCs w:val="22"/>
        </w:rPr>
        <w:t>- identifikacija primjera dobre prakse i njihova diseminacija ciljnim skupinama</w:t>
      </w:r>
      <w:r w:rsidR="00B01108" w:rsidRPr="00E85451">
        <w:rPr>
          <w:rFonts w:ascii="Arial" w:hAnsi="Arial" w:cs="Arial"/>
          <w:color w:val="auto"/>
          <w:sz w:val="22"/>
          <w:szCs w:val="22"/>
        </w:rPr>
        <w:t>.</w:t>
      </w:r>
    </w:p>
    <w:p w:rsidR="00750D15" w:rsidRPr="00E85451" w:rsidRDefault="00750D15" w:rsidP="00AC47C6">
      <w:pPr>
        <w:ind w:right="-8" w:firstLine="708"/>
        <w:jc w:val="both"/>
        <w:rPr>
          <w:rFonts w:ascii="Arial" w:hAnsi="Arial" w:cs="Arial"/>
          <w:color w:val="auto"/>
          <w:sz w:val="22"/>
          <w:szCs w:val="22"/>
        </w:rPr>
      </w:pPr>
    </w:p>
    <w:p w:rsidR="00AC47C6" w:rsidRPr="00E85451" w:rsidRDefault="00AC47C6" w:rsidP="00AC47C6">
      <w:pPr>
        <w:ind w:right="-8"/>
        <w:jc w:val="both"/>
        <w:rPr>
          <w:rFonts w:ascii="Arial" w:hAnsi="Arial" w:cs="Arial"/>
          <w:color w:val="auto"/>
          <w:sz w:val="22"/>
          <w:szCs w:val="22"/>
        </w:rPr>
      </w:pPr>
    </w:p>
    <w:p w:rsidR="00AC47C6" w:rsidRPr="00E85451" w:rsidRDefault="00AC47C6" w:rsidP="00AC47C6">
      <w:pPr>
        <w:ind w:right="-8"/>
        <w:jc w:val="both"/>
        <w:rPr>
          <w:rFonts w:ascii="Arial" w:hAnsi="Arial" w:cs="Arial"/>
          <w:color w:val="auto"/>
          <w:sz w:val="22"/>
          <w:szCs w:val="22"/>
        </w:rPr>
      </w:pPr>
      <w:r w:rsidRPr="00E85451">
        <w:rPr>
          <w:rFonts w:ascii="Arial" w:hAnsi="Arial" w:cs="Arial"/>
          <w:color w:val="auto"/>
          <w:sz w:val="22"/>
          <w:szCs w:val="22"/>
        </w:rPr>
        <w:t>Godišnje izvješće za provedbu programa Mladi na djelu za 2014. godinu poslano je u okviru izvješća za program Erasmus+, Europskoj komisiji u veljači 2015. godine. Očekuje se da će svi projekti u okviru programa Mladi na djelu biti zaključeni tijekom 2016. godine.</w:t>
      </w:r>
    </w:p>
    <w:p w:rsidR="008835A8" w:rsidRPr="00E85451" w:rsidRDefault="008835A8" w:rsidP="00AC47C6">
      <w:pPr>
        <w:ind w:right="-8"/>
        <w:jc w:val="both"/>
        <w:rPr>
          <w:rFonts w:ascii="Arial" w:hAnsi="Arial" w:cs="Arial"/>
          <w:color w:val="auto"/>
          <w:sz w:val="22"/>
          <w:szCs w:val="22"/>
        </w:rPr>
      </w:pPr>
    </w:p>
    <w:p w:rsidR="000F3799" w:rsidRPr="000F3158" w:rsidRDefault="0026475F" w:rsidP="00601741">
      <w:pPr>
        <w:pStyle w:val="Heading2"/>
        <w:rPr>
          <w:rFonts w:ascii="Arial" w:hAnsi="Arial" w:cs="Arial"/>
          <w:color w:val="auto"/>
          <w:sz w:val="24"/>
          <w:szCs w:val="24"/>
        </w:rPr>
      </w:pPr>
      <w:bookmarkStart w:id="14" w:name="h.4d34og8" w:colFirst="0" w:colLast="0"/>
      <w:bookmarkStart w:id="15" w:name="_Toc419192155"/>
      <w:bookmarkEnd w:id="14"/>
      <w:r w:rsidRPr="000F3158">
        <w:rPr>
          <w:rFonts w:ascii="Arial" w:hAnsi="Arial" w:cs="Arial"/>
          <w:color w:val="auto"/>
          <w:sz w:val="24"/>
          <w:szCs w:val="24"/>
        </w:rPr>
        <w:t>2.4</w:t>
      </w:r>
      <w:r w:rsidR="00923EE2" w:rsidRPr="000F3158">
        <w:rPr>
          <w:rFonts w:ascii="Arial" w:hAnsi="Arial" w:cs="Arial"/>
          <w:color w:val="auto"/>
          <w:sz w:val="24"/>
          <w:szCs w:val="24"/>
        </w:rPr>
        <w:t xml:space="preserve">. </w:t>
      </w:r>
      <w:r w:rsidRPr="000F3158">
        <w:rPr>
          <w:rFonts w:ascii="Arial" w:hAnsi="Arial" w:cs="Arial"/>
          <w:color w:val="auto"/>
          <w:sz w:val="24"/>
          <w:szCs w:val="24"/>
        </w:rPr>
        <w:t xml:space="preserve">Program </w:t>
      </w:r>
      <w:r w:rsidR="00923EE2" w:rsidRPr="000F3158">
        <w:rPr>
          <w:rFonts w:ascii="Arial" w:hAnsi="Arial" w:cs="Arial"/>
          <w:color w:val="auto"/>
          <w:sz w:val="24"/>
          <w:szCs w:val="24"/>
        </w:rPr>
        <w:t>CEEPUS</w:t>
      </w:r>
      <w:bookmarkEnd w:id="15"/>
    </w:p>
    <w:p w:rsidR="007E4E76" w:rsidRPr="00E85451" w:rsidRDefault="007E4E76">
      <w:pPr>
        <w:rPr>
          <w:rFonts w:ascii="Arial" w:hAnsi="Arial" w:cs="Arial"/>
          <w:color w:val="auto"/>
          <w:sz w:val="22"/>
          <w:szCs w:val="22"/>
        </w:rPr>
      </w:pPr>
    </w:p>
    <w:tbl>
      <w:tblPr>
        <w:tblW w:w="9719" w:type="dxa"/>
        <w:tblInd w:w="-620" w:type="dxa"/>
        <w:tblLayout w:type="fixed"/>
        <w:tblLook w:val="0600" w:firstRow="0" w:lastRow="0" w:firstColumn="0" w:lastColumn="0" w:noHBand="1" w:noVBand="1"/>
      </w:tblPr>
      <w:tblGrid>
        <w:gridCol w:w="1560"/>
        <w:gridCol w:w="8159"/>
      </w:tblGrid>
      <w:tr w:rsidR="00E85451" w:rsidRPr="00E85451">
        <w:tc>
          <w:tcPr>
            <w:tcW w:w="1560" w:type="dxa"/>
            <w:tcMar>
              <w:top w:w="88" w:type="dxa"/>
              <w:left w:w="88" w:type="dxa"/>
              <w:bottom w:w="88" w:type="dxa"/>
              <w:right w:w="88" w:type="dxa"/>
            </w:tcMar>
          </w:tcPr>
          <w:p w:rsidR="000F3799" w:rsidRPr="00E85451" w:rsidRDefault="00923EE2" w:rsidP="00F85FBF">
            <w:pPr>
              <w:ind w:right="-8"/>
              <w:rPr>
                <w:rFonts w:ascii="Arial" w:hAnsi="Arial" w:cs="Arial"/>
                <w:color w:val="auto"/>
                <w:sz w:val="22"/>
                <w:szCs w:val="22"/>
              </w:rPr>
            </w:pPr>
            <w:r w:rsidRPr="00E85451">
              <w:rPr>
                <w:rFonts w:ascii="Arial" w:eastAsia="Arial" w:hAnsi="Arial" w:cs="Arial"/>
                <w:color w:val="auto"/>
                <w:sz w:val="22"/>
                <w:szCs w:val="22"/>
              </w:rPr>
              <w:t>Ukratko o programu i ciljevima:</w:t>
            </w:r>
          </w:p>
        </w:tc>
        <w:tc>
          <w:tcPr>
            <w:tcW w:w="8159" w:type="dxa"/>
            <w:tcMar>
              <w:top w:w="88" w:type="dxa"/>
              <w:left w:w="88" w:type="dxa"/>
              <w:bottom w:w="88" w:type="dxa"/>
              <w:right w:w="88" w:type="dxa"/>
            </w:tcMar>
          </w:tcPr>
          <w:p w:rsidR="000F3799" w:rsidRPr="00E85451" w:rsidRDefault="008C2AC4">
            <w:pPr>
              <w:ind w:right="-8"/>
              <w:jc w:val="both"/>
              <w:rPr>
                <w:rFonts w:ascii="Arial" w:hAnsi="Arial" w:cs="Arial"/>
                <w:color w:val="auto"/>
                <w:sz w:val="22"/>
                <w:szCs w:val="22"/>
                <w:highlight w:val="yellow"/>
              </w:rPr>
            </w:pPr>
            <w:r w:rsidRPr="00E85451">
              <w:rPr>
                <w:rFonts w:ascii="Arial" w:eastAsia="Arial" w:hAnsi="Arial" w:cs="Arial"/>
                <w:color w:val="auto"/>
                <w:sz w:val="22"/>
                <w:szCs w:val="22"/>
              </w:rPr>
              <w:t xml:space="preserve">CEEPUS (Srednjoeuropski program razmjene za sveučilišne studije) regionalni je program mobilnosti studenata, doktoranada i nastavnog osoblja usmjeren na visoko obrazovanje. Osnovni je cilj promicanje međunarodne suradnje visokih učilišta, poticanje akademske mobilnosti dionika visokog obrazovanja te promicanje regionalne i europske dimenzije u studijskim programima. </w:t>
            </w:r>
          </w:p>
        </w:tc>
      </w:tr>
      <w:tr w:rsidR="00E85451" w:rsidRPr="00E85451">
        <w:tc>
          <w:tcPr>
            <w:tcW w:w="1560" w:type="dxa"/>
            <w:tcMar>
              <w:top w:w="88" w:type="dxa"/>
              <w:left w:w="88" w:type="dxa"/>
              <w:bottom w:w="88" w:type="dxa"/>
              <w:right w:w="88" w:type="dxa"/>
            </w:tcMar>
          </w:tcPr>
          <w:p w:rsidR="0003513E" w:rsidRPr="00E85451" w:rsidRDefault="0003513E" w:rsidP="00F85FBF">
            <w:pPr>
              <w:ind w:right="-8"/>
              <w:rPr>
                <w:rFonts w:ascii="Arial" w:eastAsia="Arial" w:hAnsi="Arial" w:cs="Arial"/>
                <w:color w:val="auto"/>
                <w:sz w:val="22"/>
                <w:szCs w:val="22"/>
              </w:rPr>
            </w:pPr>
            <w:r w:rsidRPr="00E85451">
              <w:rPr>
                <w:rFonts w:ascii="Arial" w:eastAsia="Arial" w:hAnsi="Arial" w:cs="Arial"/>
                <w:color w:val="auto"/>
                <w:sz w:val="22"/>
                <w:szCs w:val="22"/>
              </w:rPr>
              <w:t>Pravna osnova</w:t>
            </w:r>
          </w:p>
        </w:tc>
        <w:tc>
          <w:tcPr>
            <w:tcW w:w="8159" w:type="dxa"/>
            <w:tcMar>
              <w:top w:w="88" w:type="dxa"/>
              <w:left w:w="88" w:type="dxa"/>
              <w:bottom w:w="88" w:type="dxa"/>
              <w:right w:w="88" w:type="dxa"/>
            </w:tcMar>
          </w:tcPr>
          <w:p w:rsidR="00F26694" w:rsidRPr="00E85451" w:rsidRDefault="00F26694" w:rsidP="00F26694">
            <w:pPr>
              <w:pStyle w:val="ListParagraph"/>
              <w:numPr>
                <w:ilvl w:val="0"/>
                <w:numId w:val="20"/>
              </w:num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Odluka o imenovanju Nacionalne kontaktne točke za program TEMPUS i za koordinaciju nacionalnih stručnjaka za Bolonjski proces, za program Nacionalnog ureda za CEEPUS u Hrvatskoj i nacionalnog operatora projekta Mediteranski ured za </w:t>
            </w:r>
            <w:r w:rsidR="00247366" w:rsidRPr="00E85451">
              <w:rPr>
                <w:rFonts w:ascii="Arial" w:eastAsia="Arial" w:hAnsi="Arial" w:cs="Arial"/>
                <w:color w:val="auto"/>
                <w:sz w:val="22"/>
                <w:szCs w:val="22"/>
              </w:rPr>
              <w:t>m</w:t>
            </w:r>
            <w:r w:rsidRPr="00E85451">
              <w:rPr>
                <w:rFonts w:ascii="Arial" w:eastAsia="Arial" w:hAnsi="Arial" w:cs="Arial"/>
                <w:color w:val="auto"/>
                <w:sz w:val="22"/>
                <w:szCs w:val="22"/>
              </w:rPr>
              <w:t>lade (KLASA: 605-01/11-01/00001, URBROJ: 533-06-11-0001), 6. veljače 2011., Ministarstvo znanosti, obrazovanja i sporta</w:t>
            </w:r>
          </w:p>
          <w:p w:rsidR="00F26694" w:rsidRPr="00E85451" w:rsidRDefault="00F26694" w:rsidP="00F26694">
            <w:pPr>
              <w:pStyle w:val="ListParagraph"/>
              <w:ind w:right="-8"/>
              <w:jc w:val="both"/>
              <w:rPr>
                <w:rFonts w:ascii="Arial" w:eastAsia="Arial" w:hAnsi="Arial" w:cs="Arial"/>
                <w:color w:val="auto"/>
                <w:sz w:val="22"/>
                <w:szCs w:val="22"/>
              </w:rPr>
            </w:pPr>
            <w:r w:rsidRPr="00E85451">
              <w:rPr>
                <w:rFonts w:ascii="Arial" w:eastAsia="Arial" w:hAnsi="Arial" w:cs="Arial"/>
                <w:color w:val="auto"/>
                <w:sz w:val="22"/>
                <w:szCs w:val="22"/>
              </w:rPr>
              <w:t>Temeljem ove Odluke, Agencija za mobilnost i programe EU imenovana je Nacionalnim CEEPUS uredom za Hrvatsku</w:t>
            </w:r>
            <w:r w:rsidR="00247366" w:rsidRPr="00E85451">
              <w:rPr>
                <w:rFonts w:ascii="Arial" w:eastAsia="Arial" w:hAnsi="Arial" w:cs="Arial"/>
                <w:color w:val="auto"/>
                <w:sz w:val="22"/>
                <w:szCs w:val="22"/>
              </w:rPr>
              <w:t>.</w:t>
            </w:r>
          </w:p>
          <w:p w:rsidR="00F26694" w:rsidRPr="00E85451" w:rsidRDefault="00F26694" w:rsidP="00F26694">
            <w:pPr>
              <w:pStyle w:val="ListParagraph"/>
              <w:numPr>
                <w:ilvl w:val="0"/>
                <w:numId w:val="20"/>
              </w:numPr>
              <w:ind w:right="-8"/>
              <w:jc w:val="both"/>
              <w:rPr>
                <w:rFonts w:ascii="Arial" w:eastAsia="Arial" w:hAnsi="Arial" w:cs="Arial"/>
                <w:color w:val="auto"/>
                <w:sz w:val="22"/>
                <w:szCs w:val="22"/>
              </w:rPr>
            </w:pPr>
            <w:r w:rsidRPr="00E85451">
              <w:rPr>
                <w:rFonts w:ascii="Arial" w:eastAsia="Arial" w:hAnsi="Arial" w:cs="Arial"/>
                <w:color w:val="auto"/>
                <w:sz w:val="22"/>
                <w:szCs w:val="22"/>
              </w:rPr>
              <w:t>Ugovor o Srednjoeuropskom programu razmjene za sveučilišne studije (CEEPUS III), potpisan u Budvi, Crna Gora, 25. ožujka 2010., za Republiku Hrvatsku potpisnik Ministarstvo znanosti, obrazovanja i sporta</w:t>
            </w:r>
          </w:p>
          <w:p w:rsidR="005E3AD9" w:rsidRPr="00E85451" w:rsidRDefault="008C2AC4" w:rsidP="007E4E76">
            <w:pPr>
              <w:pStyle w:val="ListParagraph"/>
              <w:numPr>
                <w:ilvl w:val="0"/>
                <w:numId w:val="20"/>
              </w:num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„CEEPUS III Work Programme 2011. – 2013.“ (u travnju 2015. godine na </w:t>
            </w:r>
            <w:r w:rsidRPr="00E85451">
              <w:rPr>
                <w:rFonts w:ascii="Arial" w:eastAsia="Arial" w:hAnsi="Arial" w:cs="Arial"/>
                <w:color w:val="auto"/>
                <w:sz w:val="22"/>
                <w:szCs w:val="22"/>
              </w:rPr>
              <w:lastRenderedPageBreak/>
              <w:t>sastanku Vijeća Ministara (CEEPUS Joint Comitee of Ministers najavljeno usvajanje novog programa rada: CEEPUS III Work Programme 2015 – 2017.</w:t>
            </w:r>
          </w:p>
        </w:tc>
      </w:tr>
      <w:tr w:rsidR="00E85451" w:rsidRPr="00E85451">
        <w:tc>
          <w:tcPr>
            <w:tcW w:w="1560" w:type="dxa"/>
            <w:tcMar>
              <w:top w:w="88" w:type="dxa"/>
              <w:left w:w="88" w:type="dxa"/>
              <w:bottom w:w="88" w:type="dxa"/>
              <w:right w:w="88" w:type="dxa"/>
            </w:tcMar>
          </w:tcPr>
          <w:p w:rsidR="000F3799" w:rsidRPr="00E85451" w:rsidRDefault="00923EE2" w:rsidP="00F85FBF">
            <w:pPr>
              <w:ind w:right="-8"/>
              <w:rPr>
                <w:rFonts w:ascii="Arial" w:hAnsi="Arial" w:cs="Arial"/>
                <w:color w:val="auto"/>
                <w:sz w:val="22"/>
                <w:szCs w:val="22"/>
              </w:rPr>
            </w:pPr>
            <w:r w:rsidRPr="00E85451">
              <w:rPr>
                <w:rFonts w:ascii="Arial" w:eastAsia="Arial" w:hAnsi="Arial" w:cs="Arial"/>
                <w:color w:val="auto"/>
                <w:sz w:val="22"/>
                <w:szCs w:val="22"/>
              </w:rPr>
              <w:lastRenderedPageBreak/>
              <w:t>Raspoloži</w:t>
            </w:r>
            <w:r w:rsidR="0026475F" w:rsidRPr="00E85451">
              <w:rPr>
                <w:rFonts w:ascii="Arial" w:eastAsia="Arial" w:hAnsi="Arial" w:cs="Arial"/>
                <w:color w:val="auto"/>
                <w:sz w:val="22"/>
                <w:szCs w:val="22"/>
              </w:rPr>
              <w:t>va sredstva za stipendije u 2014</w:t>
            </w:r>
            <w:r w:rsidRPr="00E85451">
              <w:rPr>
                <w:rFonts w:ascii="Arial" w:eastAsia="Arial" w:hAnsi="Arial" w:cs="Arial"/>
                <w:color w:val="auto"/>
                <w:sz w:val="22"/>
                <w:szCs w:val="22"/>
              </w:rPr>
              <w:t>. godini</w:t>
            </w:r>
          </w:p>
        </w:tc>
        <w:tc>
          <w:tcPr>
            <w:tcW w:w="8159" w:type="dxa"/>
            <w:tcMar>
              <w:top w:w="88" w:type="dxa"/>
              <w:left w:w="88" w:type="dxa"/>
              <w:bottom w:w="88" w:type="dxa"/>
              <w:right w:w="88" w:type="dxa"/>
            </w:tcMar>
          </w:tcPr>
          <w:p w:rsidR="00C50BEF" w:rsidRPr="00E85451" w:rsidRDefault="00C50BEF">
            <w:pPr>
              <w:ind w:right="-8"/>
              <w:jc w:val="both"/>
              <w:rPr>
                <w:rFonts w:ascii="Arial" w:eastAsia="Arial" w:hAnsi="Arial" w:cs="Arial"/>
                <w:color w:val="auto"/>
                <w:sz w:val="22"/>
                <w:szCs w:val="22"/>
              </w:rPr>
            </w:pPr>
            <w:r w:rsidRPr="00E85451">
              <w:rPr>
                <w:rFonts w:ascii="Arial" w:eastAsia="Arial" w:hAnsi="Arial" w:cs="Arial"/>
                <w:color w:val="auto"/>
                <w:sz w:val="22"/>
                <w:szCs w:val="22"/>
              </w:rPr>
              <w:t>Unutar proračuna Agencije, raspoloživa sredstva za stipendije u okviru programa CEEPUS te bilateralnih programa akademske mobilnosti prikazana su zbirno te su u 2014. godini iznosila 2.615.457,00</w:t>
            </w:r>
            <w:r w:rsidR="002B7707" w:rsidRPr="00E85451">
              <w:rPr>
                <w:rFonts w:ascii="Arial" w:eastAsia="Arial" w:hAnsi="Arial" w:cs="Arial"/>
                <w:color w:val="auto"/>
                <w:sz w:val="22"/>
                <w:szCs w:val="22"/>
              </w:rPr>
              <w:t xml:space="preserve"> </w:t>
            </w:r>
            <w:r w:rsidRPr="00E85451">
              <w:rPr>
                <w:rFonts w:ascii="Arial" w:eastAsia="Arial" w:hAnsi="Arial" w:cs="Arial"/>
                <w:color w:val="auto"/>
                <w:sz w:val="22"/>
                <w:szCs w:val="22"/>
              </w:rPr>
              <w:t>HRK. U okviru programa CEEPUS, sredstva u obliku mjeseci stipendija dodjeljuju se na osnovi akademske godine. Za akademsku godinu 2013./2014. u Hrvatskoj je dodijeljeno 450 mjeseci stipendija za dolaznu mobilnost.</w:t>
            </w:r>
          </w:p>
          <w:p w:rsidR="000F3799" w:rsidRPr="00E85451" w:rsidRDefault="000F3799">
            <w:pPr>
              <w:ind w:right="-8"/>
              <w:jc w:val="both"/>
              <w:rPr>
                <w:rFonts w:ascii="Arial" w:hAnsi="Arial" w:cs="Arial"/>
                <w:color w:val="auto"/>
                <w:sz w:val="22"/>
                <w:szCs w:val="22"/>
                <w:highlight w:val="yellow"/>
              </w:rPr>
            </w:pPr>
          </w:p>
        </w:tc>
      </w:tr>
      <w:tr w:rsidR="00E85451" w:rsidRPr="00E85451">
        <w:tc>
          <w:tcPr>
            <w:tcW w:w="1560" w:type="dxa"/>
            <w:tcMar>
              <w:top w:w="88" w:type="dxa"/>
              <w:left w:w="88" w:type="dxa"/>
              <w:bottom w:w="88" w:type="dxa"/>
              <w:right w:w="88" w:type="dxa"/>
            </w:tcMar>
          </w:tcPr>
          <w:p w:rsidR="000F3799" w:rsidRPr="00E85451" w:rsidRDefault="00923EE2">
            <w:pPr>
              <w:ind w:right="-8"/>
              <w:jc w:val="both"/>
              <w:rPr>
                <w:rFonts w:ascii="Arial" w:hAnsi="Arial" w:cs="Arial"/>
                <w:color w:val="auto"/>
                <w:sz w:val="22"/>
                <w:szCs w:val="22"/>
              </w:rPr>
            </w:pPr>
            <w:r w:rsidRPr="00E85451">
              <w:rPr>
                <w:rFonts w:ascii="Arial" w:eastAsia="Arial" w:hAnsi="Arial" w:cs="Arial"/>
                <w:color w:val="auto"/>
                <w:sz w:val="22"/>
                <w:szCs w:val="22"/>
              </w:rPr>
              <w:t>Ugovorena sredstva</w:t>
            </w:r>
          </w:p>
        </w:tc>
        <w:tc>
          <w:tcPr>
            <w:tcW w:w="8159" w:type="dxa"/>
            <w:tcMar>
              <w:top w:w="88" w:type="dxa"/>
              <w:left w:w="88" w:type="dxa"/>
              <w:bottom w:w="88" w:type="dxa"/>
              <w:right w:w="88" w:type="dxa"/>
            </w:tcMar>
          </w:tcPr>
          <w:p w:rsidR="000F3799" w:rsidRPr="00E85451" w:rsidRDefault="00C50BEF">
            <w:pPr>
              <w:ind w:right="-8"/>
              <w:jc w:val="both"/>
              <w:rPr>
                <w:rFonts w:ascii="Arial" w:hAnsi="Arial" w:cs="Arial"/>
                <w:color w:val="auto"/>
                <w:sz w:val="22"/>
                <w:szCs w:val="22"/>
                <w:highlight w:val="yellow"/>
              </w:rPr>
            </w:pPr>
            <w:r w:rsidRPr="00E85451">
              <w:rPr>
                <w:rFonts w:ascii="Arial" w:eastAsia="Arial" w:hAnsi="Arial" w:cs="Arial"/>
                <w:color w:val="auto"/>
                <w:sz w:val="22"/>
                <w:szCs w:val="22"/>
              </w:rPr>
              <w:t xml:space="preserve">Program CEEPUS provodi se putem online sustava www.ceepus.info, u kojemu se provodi postupak nominacije prijava te dodjeljivanja mjeseci stipendija. Slijedom navedenoga, statistika o iskorištenosti mjeseci stipendija vidljiva je u spomenutom online sustavu te je vidljiva samo na bazi akademske godine. </w:t>
            </w:r>
            <w:r w:rsidR="008C2AC4" w:rsidRPr="00E85451">
              <w:rPr>
                <w:rFonts w:ascii="Arial" w:eastAsia="Arial" w:hAnsi="Arial" w:cs="Arial"/>
                <w:color w:val="auto"/>
                <w:sz w:val="22"/>
                <w:szCs w:val="22"/>
              </w:rPr>
              <w:t>Prema statistici iz CEEPUS sustava u navedenoj akademskoj godini realizacija/iskorištenost sredstava dodijeljenih u obliku mjeseci stipendija za dolazne mobilnosti je sljedeća:</w:t>
            </w:r>
          </w:p>
          <w:p w:rsidR="000F3799" w:rsidRPr="00E85451" w:rsidRDefault="000F3799">
            <w:pPr>
              <w:tabs>
                <w:tab w:val="left" w:pos="2248"/>
              </w:tabs>
              <w:ind w:right="-8"/>
              <w:jc w:val="both"/>
              <w:rPr>
                <w:rFonts w:ascii="Arial" w:hAnsi="Arial" w:cs="Arial"/>
                <w:color w:val="auto"/>
                <w:sz w:val="22"/>
                <w:szCs w:val="22"/>
                <w:highlight w:val="yellow"/>
              </w:rPr>
            </w:pPr>
          </w:p>
          <w:p w:rsidR="00C50BEF" w:rsidRPr="00E85451" w:rsidRDefault="00C50BEF" w:rsidP="00C50BEF">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Mrežne mobilnosti: 275 mjeseci stipendija </w:t>
            </w:r>
          </w:p>
          <w:p w:rsidR="00C50BEF" w:rsidRPr="00E85451" w:rsidRDefault="00C50BEF" w:rsidP="00C50BEF">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Freemover mobilnosti: 150 mjeseca stipendija  </w:t>
            </w:r>
          </w:p>
          <w:p w:rsidR="00C50BEF" w:rsidRPr="00E85451" w:rsidRDefault="00C50BEF" w:rsidP="00C50BEF">
            <w:pPr>
              <w:ind w:right="-8"/>
              <w:jc w:val="both"/>
              <w:rPr>
                <w:rFonts w:ascii="Arial" w:eastAsia="Arial" w:hAnsi="Arial" w:cs="Arial"/>
                <w:color w:val="auto"/>
                <w:sz w:val="22"/>
                <w:szCs w:val="22"/>
              </w:rPr>
            </w:pPr>
            <w:r w:rsidRPr="00E85451">
              <w:rPr>
                <w:rFonts w:ascii="Arial" w:eastAsia="Arial" w:hAnsi="Arial" w:cs="Arial"/>
                <w:color w:val="auto"/>
                <w:sz w:val="22"/>
                <w:szCs w:val="22"/>
              </w:rPr>
              <w:t>Neiskorišteno: 25 mjeseci stipendija</w:t>
            </w:r>
          </w:p>
          <w:p w:rsidR="00C50BEF" w:rsidRPr="00E85451" w:rsidRDefault="00C50BEF" w:rsidP="00C50BEF">
            <w:pPr>
              <w:ind w:right="-8"/>
              <w:jc w:val="both"/>
              <w:rPr>
                <w:rFonts w:ascii="Arial" w:eastAsia="Arial" w:hAnsi="Arial" w:cs="Arial"/>
                <w:color w:val="auto"/>
                <w:sz w:val="22"/>
                <w:szCs w:val="22"/>
              </w:rPr>
            </w:pPr>
          </w:p>
          <w:p w:rsidR="00C50BEF" w:rsidRPr="00E85451" w:rsidRDefault="00C50BEF" w:rsidP="00C50BEF">
            <w:pPr>
              <w:ind w:right="-8"/>
              <w:jc w:val="both"/>
              <w:rPr>
                <w:rFonts w:ascii="Arial" w:eastAsia="Arial" w:hAnsi="Arial" w:cs="Arial"/>
                <w:color w:val="auto"/>
                <w:sz w:val="22"/>
                <w:szCs w:val="22"/>
              </w:rPr>
            </w:pPr>
            <w:r w:rsidRPr="00E85451">
              <w:rPr>
                <w:rFonts w:ascii="Arial" w:eastAsia="Arial" w:hAnsi="Arial" w:cs="Arial"/>
                <w:color w:val="auto"/>
                <w:sz w:val="22"/>
                <w:szCs w:val="22"/>
              </w:rPr>
              <w:t>Iznosi ugovorenih sredstava u 2014. godini:</w:t>
            </w:r>
          </w:p>
          <w:p w:rsidR="00C50BEF" w:rsidRPr="00E85451" w:rsidRDefault="00C50BEF" w:rsidP="00C50BEF">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Stipendije:  </w:t>
            </w:r>
            <w:r w:rsidRPr="00E85451">
              <w:rPr>
                <w:rFonts w:ascii="Arial" w:eastAsia="Arial" w:hAnsi="Arial" w:cs="Arial"/>
                <w:color w:val="auto"/>
                <w:sz w:val="22"/>
                <w:szCs w:val="22"/>
              </w:rPr>
              <w:tab/>
              <w:t>934.800.00  HRK</w:t>
            </w:r>
          </w:p>
          <w:p w:rsidR="00C50BEF" w:rsidRPr="00E85451" w:rsidRDefault="00C50BEF" w:rsidP="00C50BEF">
            <w:pPr>
              <w:ind w:right="-8"/>
              <w:jc w:val="both"/>
              <w:rPr>
                <w:rFonts w:ascii="Arial" w:eastAsia="Arial" w:hAnsi="Arial" w:cs="Arial"/>
                <w:color w:val="auto"/>
                <w:sz w:val="22"/>
                <w:szCs w:val="22"/>
              </w:rPr>
            </w:pPr>
            <w:r w:rsidRPr="00E85451">
              <w:rPr>
                <w:rFonts w:ascii="Arial" w:eastAsia="Arial" w:hAnsi="Arial" w:cs="Arial"/>
                <w:color w:val="auto"/>
                <w:sz w:val="22"/>
                <w:szCs w:val="22"/>
              </w:rPr>
              <w:t>Prijevoz:     88.042,63 HRK</w:t>
            </w:r>
          </w:p>
          <w:p w:rsidR="00C50BEF" w:rsidRPr="00E85451" w:rsidRDefault="00C50BEF" w:rsidP="00C50BEF">
            <w:pPr>
              <w:ind w:right="-8"/>
              <w:jc w:val="both"/>
              <w:rPr>
                <w:rFonts w:ascii="Arial" w:eastAsia="Arial" w:hAnsi="Arial" w:cs="Arial"/>
                <w:color w:val="auto"/>
                <w:sz w:val="22"/>
                <w:szCs w:val="22"/>
              </w:rPr>
            </w:pPr>
            <w:r w:rsidRPr="00E85451">
              <w:rPr>
                <w:rFonts w:ascii="Arial" w:eastAsia="Arial" w:hAnsi="Arial" w:cs="Arial"/>
                <w:color w:val="auto"/>
                <w:sz w:val="22"/>
                <w:szCs w:val="22"/>
              </w:rPr>
              <w:t>Smještaj:     280.150,85 HRK</w:t>
            </w:r>
          </w:p>
          <w:p w:rsidR="00C50BEF" w:rsidRPr="00E85451" w:rsidRDefault="00C50BEF" w:rsidP="00C50BEF">
            <w:pPr>
              <w:ind w:right="-8"/>
              <w:jc w:val="both"/>
              <w:rPr>
                <w:rFonts w:ascii="Arial" w:eastAsia="Arial" w:hAnsi="Arial" w:cs="Arial"/>
                <w:color w:val="auto"/>
                <w:sz w:val="22"/>
                <w:szCs w:val="22"/>
              </w:rPr>
            </w:pPr>
            <w:r w:rsidRPr="00E85451">
              <w:rPr>
                <w:rFonts w:ascii="Arial" w:eastAsia="Arial" w:hAnsi="Arial" w:cs="Arial"/>
                <w:color w:val="auto"/>
                <w:sz w:val="22"/>
                <w:szCs w:val="22"/>
              </w:rPr>
              <w:t>Prehrana: 17.659,60 HRK</w:t>
            </w:r>
          </w:p>
          <w:p w:rsidR="000F3799" w:rsidRPr="00E85451" w:rsidRDefault="00C50BEF">
            <w:pPr>
              <w:ind w:right="-8"/>
              <w:jc w:val="both"/>
              <w:rPr>
                <w:rFonts w:ascii="Arial" w:eastAsia="Arial" w:hAnsi="Arial" w:cs="Arial"/>
                <w:color w:val="auto"/>
                <w:sz w:val="22"/>
                <w:szCs w:val="22"/>
              </w:rPr>
            </w:pPr>
            <w:r w:rsidRPr="00E85451">
              <w:rPr>
                <w:rFonts w:ascii="Arial" w:eastAsia="Arial" w:hAnsi="Arial" w:cs="Arial"/>
                <w:color w:val="auto"/>
                <w:sz w:val="22"/>
                <w:szCs w:val="22"/>
              </w:rPr>
              <w:t>Ukupno:   1.320.653,08 HRK</w:t>
            </w:r>
          </w:p>
        </w:tc>
      </w:tr>
      <w:tr w:rsidR="00E85451" w:rsidRPr="00E85451">
        <w:tc>
          <w:tcPr>
            <w:tcW w:w="1560" w:type="dxa"/>
            <w:tcMar>
              <w:top w:w="88" w:type="dxa"/>
              <w:left w:w="88" w:type="dxa"/>
              <w:bottom w:w="88" w:type="dxa"/>
              <w:right w:w="88" w:type="dxa"/>
            </w:tcMar>
          </w:tcPr>
          <w:p w:rsidR="000F3799" w:rsidRPr="00E85451" w:rsidRDefault="00923EE2" w:rsidP="00F85FBF">
            <w:pPr>
              <w:ind w:right="-8"/>
              <w:rPr>
                <w:rFonts w:ascii="Arial" w:hAnsi="Arial" w:cs="Arial"/>
                <w:color w:val="auto"/>
                <w:sz w:val="22"/>
                <w:szCs w:val="22"/>
              </w:rPr>
            </w:pPr>
            <w:r w:rsidRPr="00E85451">
              <w:rPr>
                <w:rFonts w:ascii="Arial" w:eastAsia="Arial" w:hAnsi="Arial" w:cs="Arial"/>
                <w:color w:val="auto"/>
                <w:sz w:val="22"/>
                <w:szCs w:val="22"/>
              </w:rPr>
              <w:t>Broj raspisanih natječaja i rokovi za prijavu</w:t>
            </w:r>
          </w:p>
        </w:tc>
        <w:tc>
          <w:tcPr>
            <w:tcW w:w="8159" w:type="dxa"/>
            <w:tcMar>
              <w:top w:w="88" w:type="dxa"/>
              <w:left w:w="88" w:type="dxa"/>
              <w:bottom w:w="88" w:type="dxa"/>
              <w:right w:w="88" w:type="dxa"/>
            </w:tcMar>
          </w:tcPr>
          <w:p w:rsidR="00C50BEF" w:rsidRPr="00E85451" w:rsidRDefault="008C2AC4" w:rsidP="00C50BEF">
            <w:pPr>
              <w:ind w:right="-8"/>
              <w:jc w:val="both"/>
              <w:rPr>
                <w:rFonts w:ascii="Arial" w:hAnsi="Arial" w:cs="Arial"/>
                <w:color w:val="auto"/>
                <w:sz w:val="22"/>
                <w:szCs w:val="22"/>
              </w:rPr>
            </w:pPr>
            <w:r w:rsidRPr="00E85451">
              <w:rPr>
                <w:rFonts w:ascii="Arial" w:eastAsia="Arial" w:hAnsi="Arial" w:cs="Arial"/>
                <w:color w:val="auto"/>
                <w:sz w:val="22"/>
                <w:szCs w:val="22"/>
              </w:rPr>
              <w:t>Natječaj za visoka učilišta za prijavu CEEPUS mreža: 15. siječnja 2014.</w:t>
            </w:r>
          </w:p>
          <w:p w:rsidR="00C50BEF" w:rsidRPr="00E85451" w:rsidRDefault="008C2AC4" w:rsidP="00C50BEF">
            <w:pPr>
              <w:ind w:right="-8"/>
              <w:jc w:val="both"/>
              <w:rPr>
                <w:rFonts w:ascii="Arial" w:hAnsi="Arial" w:cs="Arial"/>
                <w:color w:val="auto"/>
                <w:sz w:val="22"/>
                <w:szCs w:val="22"/>
              </w:rPr>
            </w:pPr>
            <w:r w:rsidRPr="00E85451">
              <w:rPr>
                <w:rFonts w:ascii="Arial" w:eastAsia="Arial" w:hAnsi="Arial" w:cs="Arial"/>
                <w:color w:val="auto"/>
                <w:sz w:val="22"/>
                <w:szCs w:val="22"/>
              </w:rPr>
              <w:t xml:space="preserve">Natječaj za mobilnosti / zimski semestar: 15. lipnja 2014. </w:t>
            </w:r>
          </w:p>
          <w:p w:rsidR="00C50BEF" w:rsidRPr="00E85451" w:rsidRDefault="008C2AC4" w:rsidP="00C50BEF">
            <w:pPr>
              <w:ind w:right="-8"/>
              <w:jc w:val="both"/>
              <w:rPr>
                <w:rFonts w:ascii="Arial" w:hAnsi="Arial" w:cs="Arial"/>
                <w:color w:val="auto"/>
                <w:sz w:val="22"/>
                <w:szCs w:val="22"/>
              </w:rPr>
            </w:pPr>
            <w:r w:rsidRPr="00E85451">
              <w:rPr>
                <w:rFonts w:ascii="Arial" w:eastAsia="Arial" w:hAnsi="Arial" w:cs="Arial"/>
                <w:color w:val="auto"/>
                <w:sz w:val="22"/>
                <w:szCs w:val="22"/>
              </w:rPr>
              <w:t>Natječaj za mobilnosti / ljetni semestar: 31. listopada 2014.</w:t>
            </w:r>
          </w:p>
          <w:p w:rsidR="00C50BEF" w:rsidRPr="00E85451" w:rsidRDefault="008C2AC4" w:rsidP="00C50BEF">
            <w:pPr>
              <w:ind w:right="-8"/>
              <w:jc w:val="both"/>
              <w:rPr>
                <w:rFonts w:ascii="Arial" w:eastAsia="Arial" w:hAnsi="Arial" w:cs="Arial"/>
                <w:color w:val="auto"/>
                <w:sz w:val="22"/>
                <w:szCs w:val="22"/>
              </w:rPr>
            </w:pPr>
            <w:r w:rsidRPr="00E85451">
              <w:rPr>
                <w:rFonts w:ascii="Arial" w:eastAsia="Arial" w:hAnsi="Arial" w:cs="Arial"/>
                <w:color w:val="auto"/>
                <w:sz w:val="22"/>
                <w:szCs w:val="22"/>
              </w:rPr>
              <w:t>Natječaj za “freemover” mobilnosti / ljetni semestar: 30. studenog 2014.</w:t>
            </w:r>
          </w:p>
          <w:p w:rsidR="000F3799" w:rsidRPr="00E85451" w:rsidRDefault="000F3799">
            <w:pPr>
              <w:ind w:right="-8"/>
              <w:jc w:val="both"/>
              <w:rPr>
                <w:rFonts w:ascii="Arial" w:hAnsi="Arial" w:cs="Arial"/>
                <w:color w:val="auto"/>
                <w:sz w:val="22"/>
                <w:szCs w:val="22"/>
                <w:highlight w:val="yellow"/>
              </w:rPr>
            </w:pPr>
          </w:p>
        </w:tc>
      </w:tr>
      <w:tr w:rsidR="00E85451" w:rsidRPr="00E85451">
        <w:tc>
          <w:tcPr>
            <w:tcW w:w="1560" w:type="dxa"/>
            <w:tcMar>
              <w:top w:w="88" w:type="dxa"/>
              <w:left w:w="88" w:type="dxa"/>
              <w:bottom w:w="88" w:type="dxa"/>
              <w:right w:w="88" w:type="dxa"/>
            </w:tcMar>
          </w:tcPr>
          <w:p w:rsidR="00C50BEF" w:rsidRPr="00E85451" w:rsidRDefault="00C50BEF" w:rsidP="00F85FBF">
            <w:pPr>
              <w:ind w:right="-8"/>
              <w:rPr>
                <w:rFonts w:ascii="Arial" w:hAnsi="Arial" w:cs="Arial"/>
                <w:color w:val="auto"/>
                <w:sz w:val="22"/>
                <w:szCs w:val="22"/>
              </w:rPr>
            </w:pPr>
            <w:r w:rsidRPr="00E85451">
              <w:rPr>
                <w:rFonts w:ascii="Arial" w:eastAsia="Arial" w:hAnsi="Arial" w:cs="Arial"/>
                <w:color w:val="auto"/>
                <w:sz w:val="22"/>
                <w:szCs w:val="22"/>
              </w:rPr>
              <w:t>Broj odobrenih stipendija (sveukupno i po sektorima)</w:t>
            </w:r>
          </w:p>
        </w:tc>
        <w:tc>
          <w:tcPr>
            <w:tcW w:w="8159" w:type="dxa"/>
            <w:tcMar>
              <w:top w:w="88" w:type="dxa"/>
              <w:left w:w="88" w:type="dxa"/>
              <w:bottom w:w="88" w:type="dxa"/>
              <w:right w:w="88" w:type="dxa"/>
            </w:tcMar>
          </w:tcPr>
          <w:p w:rsidR="00C50BEF" w:rsidRPr="00E85451" w:rsidRDefault="008C2AC4" w:rsidP="00C50BEF">
            <w:pPr>
              <w:ind w:right="-8"/>
              <w:jc w:val="both"/>
              <w:rPr>
                <w:rFonts w:ascii="Arial" w:hAnsi="Arial" w:cs="Arial"/>
                <w:color w:val="auto"/>
                <w:sz w:val="22"/>
                <w:szCs w:val="22"/>
              </w:rPr>
            </w:pPr>
            <w:r w:rsidRPr="00E85451">
              <w:rPr>
                <w:rFonts w:ascii="Arial" w:eastAsia="Arial" w:hAnsi="Arial" w:cs="Arial"/>
                <w:color w:val="auto"/>
                <w:sz w:val="22"/>
                <w:szCs w:val="22"/>
              </w:rPr>
              <w:t xml:space="preserve">S obzirom da se u programu CEEPUS kvote u obliku “mjesec stipendije” dodjeljuju za akademsku godinu, podaci koji slijede odnose se na provedenu akademsku godinu 2013./2014. </w:t>
            </w:r>
          </w:p>
          <w:p w:rsidR="00C50BEF" w:rsidRPr="00E85451" w:rsidRDefault="00C50BEF" w:rsidP="00C50BEF">
            <w:pPr>
              <w:ind w:right="-8"/>
              <w:jc w:val="both"/>
              <w:rPr>
                <w:rFonts w:ascii="Arial" w:hAnsi="Arial" w:cs="Arial"/>
                <w:color w:val="auto"/>
                <w:sz w:val="22"/>
                <w:szCs w:val="22"/>
              </w:rPr>
            </w:pPr>
          </w:p>
          <w:p w:rsidR="00C50BEF" w:rsidRPr="00E85451" w:rsidRDefault="008C2AC4" w:rsidP="00C50BEF">
            <w:pPr>
              <w:ind w:right="-8"/>
              <w:jc w:val="both"/>
              <w:rPr>
                <w:rFonts w:ascii="Arial" w:hAnsi="Arial" w:cs="Arial"/>
                <w:color w:val="auto"/>
                <w:sz w:val="22"/>
                <w:szCs w:val="22"/>
              </w:rPr>
            </w:pPr>
            <w:r w:rsidRPr="00E85451">
              <w:rPr>
                <w:rFonts w:ascii="Arial" w:eastAsia="Arial" w:hAnsi="Arial" w:cs="Arial"/>
                <w:color w:val="auto"/>
                <w:sz w:val="22"/>
                <w:szCs w:val="22"/>
              </w:rPr>
              <w:t xml:space="preserve">Broj odobrenih prijava za dolazne mobilnosti:  </w:t>
            </w:r>
            <w:r w:rsidR="00C50BEF" w:rsidRPr="00E85451">
              <w:rPr>
                <w:rFonts w:ascii="Arial" w:eastAsia="Arial" w:hAnsi="Arial" w:cs="Arial"/>
                <w:color w:val="auto"/>
                <w:sz w:val="22"/>
                <w:szCs w:val="22"/>
              </w:rPr>
              <w:t>261</w:t>
            </w:r>
            <w:r w:rsidR="0027181E">
              <w:rPr>
                <w:rFonts w:ascii="Arial" w:eastAsia="Arial" w:hAnsi="Arial" w:cs="Arial"/>
                <w:color w:val="auto"/>
                <w:sz w:val="22"/>
                <w:szCs w:val="22"/>
              </w:rPr>
              <w:t xml:space="preserve"> </w:t>
            </w:r>
            <w:r w:rsidRPr="00E85451">
              <w:rPr>
                <w:rFonts w:ascii="Arial" w:eastAsia="Arial" w:hAnsi="Arial" w:cs="Arial"/>
                <w:color w:val="auto"/>
                <w:sz w:val="22"/>
                <w:szCs w:val="22"/>
              </w:rPr>
              <w:t>prijava</w:t>
            </w:r>
          </w:p>
          <w:p w:rsidR="00C50BEF" w:rsidRPr="00E85451" w:rsidRDefault="008C2AC4">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Broj prijava za odlazne mobilnosti:  </w:t>
            </w:r>
            <w:r w:rsidR="00C50BEF" w:rsidRPr="00E85451">
              <w:rPr>
                <w:rFonts w:ascii="Arial" w:eastAsia="Arial" w:hAnsi="Arial" w:cs="Arial"/>
                <w:color w:val="auto"/>
                <w:sz w:val="22"/>
                <w:szCs w:val="22"/>
              </w:rPr>
              <w:t>320</w:t>
            </w:r>
            <w:r w:rsidRPr="00E85451">
              <w:rPr>
                <w:rFonts w:ascii="Arial" w:eastAsia="Arial" w:hAnsi="Arial" w:cs="Arial"/>
                <w:color w:val="auto"/>
                <w:sz w:val="22"/>
                <w:szCs w:val="22"/>
              </w:rPr>
              <w:t xml:space="preserve"> prijava</w:t>
            </w:r>
          </w:p>
          <w:p w:rsidR="00C50BEF" w:rsidRPr="00E85451" w:rsidRDefault="00C50BEF">
            <w:pPr>
              <w:ind w:right="-8"/>
              <w:jc w:val="both"/>
              <w:rPr>
                <w:rFonts w:ascii="Arial" w:hAnsi="Arial" w:cs="Arial"/>
                <w:color w:val="auto"/>
                <w:sz w:val="22"/>
                <w:szCs w:val="22"/>
                <w:highlight w:val="yellow"/>
              </w:rPr>
            </w:pPr>
          </w:p>
        </w:tc>
      </w:tr>
      <w:tr w:rsidR="00E85451" w:rsidRPr="00E85451">
        <w:tc>
          <w:tcPr>
            <w:tcW w:w="1560" w:type="dxa"/>
            <w:tcMar>
              <w:top w:w="88" w:type="dxa"/>
              <w:left w:w="88" w:type="dxa"/>
              <w:bottom w:w="88" w:type="dxa"/>
              <w:right w:w="88" w:type="dxa"/>
            </w:tcMar>
          </w:tcPr>
          <w:p w:rsidR="00C50BEF" w:rsidRPr="00E85451" w:rsidRDefault="00C50BEF" w:rsidP="00F85FBF">
            <w:pPr>
              <w:ind w:right="-8"/>
              <w:rPr>
                <w:rFonts w:ascii="Arial" w:hAnsi="Arial" w:cs="Arial"/>
                <w:color w:val="auto"/>
                <w:sz w:val="22"/>
                <w:szCs w:val="22"/>
              </w:rPr>
            </w:pPr>
            <w:r w:rsidRPr="00E85451">
              <w:rPr>
                <w:rFonts w:ascii="Arial" w:eastAsia="Arial" w:hAnsi="Arial" w:cs="Arial"/>
                <w:color w:val="auto"/>
                <w:sz w:val="22"/>
                <w:szCs w:val="22"/>
              </w:rPr>
              <w:t>Ukupan broj pojedinačnih korisnika</w:t>
            </w:r>
          </w:p>
        </w:tc>
        <w:tc>
          <w:tcPr>
            <w:tcW w:w="8159" w:type="dxa"/>
            <w:tcMar>
              <w:top w:w="88" w:type="dxa"/>
              <w:left w:w="88" w:type="dxa"/>
              <w:bottom w:w="88" w:type="dxa"/>
              <w:right w:w="88" w:type="dxa"/>
            </w:tcMar>
          </w:tcPr>
          <w:p w:rsidR="00C50BEF" w:rsidRPr="00E85451" w:rsidRDefault="008C2AC4" w:rsidP="00C50BEF">
            <w:pPr>
              <w:ind w:right="-8"/>
              <w:jc w:val="both"/>
              <w:rPr>
                <w:rFonts w:ascii="Arial" w:hAnsi="Arial" w:cs="Arial"/>
                <w:color w:val="auto"/>
                <w:sz w:val="22"/>
                <w:szCs w:val="22"/>
              </w:rPr>
            </w:pPr>
            <w:r w:rsidRPr="00E85451">
              <w:rPr>
                <w:rFonts w:ascii="Arial" w:eastAsia="Arial" w:hAnsi="Arial" w:cs="Arial"/>
                <w:color w:val="auto"/>
                <w:sz w:val="22"/>
                <w:szCs w:val="22"/>
              </w:rPr>
              <w:t xml:space="preserve">S obzirom na provedbu CEEPUS-a koja se temelji na akademskim godinama, podaci koji slijede odnose se na provedenu akademsku godinu 2013./2014. </w:t>
            </w:r>
          </w:p>
          <w:p w:rsidR="00C50BEF" w:rsidRPr="00E85451" w:rsidRDefault="00C50BEF" w:rsidP="00C50BEF">
            <w:pPr>
              <w:ind w:right="-8"/>
              <w:jc w:val="both"/>
              <w:rPr>
                <w:rFonts w:ascii="Arial" w:hAnsi="Arial" w:cs="Arial"/>
                <w:color w:val="auto"/>
                <w:sz w:val="22"/>
                <w:szCs w:val="22"/>
              </w:rPr>
            </w:pPr>
          </w:p>
          <w:p w:rsidR="00C50BEF" w:rsidRPr="00E85451" w:rsidRDefault="008C2AC4" w:rsidP="00C50BEF">
            <w:pPr>
              <w:ind w:right="-8"/>
              <w:jc w:val="both"/>
              <w:rPr>
                <w:rFonts w:ascii="Arial" w:hAnsi="Arial" w:cs="Arial"/>
                <w:color w:val="auto"/>
                <w:sz w:val="22"/>
                <w:szCs w:val="22"/>
              </w:rPr>
            </w:pPr>
            <w:r w:rsidRPr="00E85451">
              <w:rPr>
                <w:rFonts w:ascii="Arial" w:eastAsia="Arial" w:hAnsi="Arial" w:cs="Arial"/>
                <w:color w:val="auto"/>
                <w:sz w:val="22"/>
                <w:szCs w:val="22"/>
              </w:rPr>
              <w:t>Broj pojedinačnih korisnika / dolazn</w:t>
            </w:r>
            <w:r w:rsidR="002B7707" w:rsidRPr="00E85451">
              <w:rPr>
                <w:rFonts w:ascii="Arial" w:eastAsia="Arial" w:hAnsi="Arial" w:cs="Arial"/>
                <w:color w:val="auto"/>
                <w:sz w:val="22"/>
                <w:szCs w:val="22"/>
              </w:rPr>
              <w:t>e</w:t>
            </w:r>
            <w:r w:rsidRPr="00E85451">
              <w:rPr>
                <w:rFonts w:ascii="Arial" w:eastAsia="Arial" w:hAnsi="Arial" w:cs="Arial"/>
                <w:color w:val="auto"/>
                <w:sz w:val="22"/>
                <w:szCs w:val="22"/>
              </w:rPr>
              <w:t xml:space="preserve"> mobilnosti: </w:t>
            </w:r>
          </w:p>
          <w:p w:rsidR="00C50BEF" w:rsidRPr="00E85451" w:rsidRDefault="008C2AC4" w:rsidP="00C50BEF">
            <w:pPr>
              <w:ind w:right="-8"/>
              <w:jc w:val="both"/>
              <w:rPr>
                <w:rFonts w:ascii="Arial" w:hAnsi="Arial" w:cs="Arial"/>
                <w:color w:val="auto"/>
                <w:sz w:val="22"/>
                <w:szCs w:val="22"/>
              </w:rPr>
            </w:pPr>
            <w:r w:rsidRPr="00E85451">
              <w:rPr>
                <w:rFonts w:ascii="Arial" w:eastAsia="Arial" w:hAnsi="Arial" w:cs="Arial"/>
                <w:color w:val="auto"/>
                <w:sz w:val="22"/>
                <w:szCs w:val="22"/>
              </w:rPr>
              <w:t xml:space="preserve"> </w:t>
            </w:r>
            <w:r w:rsidR="00C50BEF" w:rsidRPr="00E85451">
              <w:rPr>
                <w:rFonts w:ascii="Arial" w:eastAsia="Arial" w:hAnsi="Arial" w:cs="Arial"/>
                <w:color w:val="auto"/>
                <w:sz w:val="22"/>
                <w:szCs w:val="22"/>
              </w:rPr>
              <w:t>167</w:t>
            </w:r>
            <w:r w:rsidRPr="00E85451">
              <w:rPr>
                <w:rFonts w:ascii="Arial" w:eastAsia="Arial" w:hAnsi="Arial" w:cs="Arial"/>
                <w:color w:val="auto"/>
                <w:sz w:val="22"/>
                <w:szCs w:val="22"/>
              </w:rPr>
              <w:t xml:space="preserve"> studentskih mobilnosti </w:t>
            </w:r>
          </w:p>
          <w:p w:rsidR="00C50BEF" w:rsidRPr="00E85451" w:rsidRDefault="008C2AC4" w:rsidP="00C50BEF">
            <w:pPr>
              <w:ind w:right="-8"/>
              <w:jc w:val="both"/>
              <w:rPr>
                <w:rFonts w:ascii="Arial" w:hAnsi="Arial" w:cs="Arial"/>
                <w:color w:val="auto"/>
                <w:sz w:val="22"/>
                <w:szCs w:val="22"/>
              </w:rPr>
            </w:pPr>
            <w:r w:rsidRPr="00E85451">
              <w:rPr>
                <w:rFonts w:ascii="Arial" w:eastAsia="Arial" w:hAnsi="Arial" w:cs="Arial"/>
                <w:color w:val="auto"/>
                <w:sz w:val="22"/>
                <w:szCs w:val="22"/>
              </w:rPr>
              <w:t xml:space="preserve"> </w:t>
            </w:r>
            <w:r w:rsidR="00C50BEF" w:rsidRPr="00E85451">
              <w:rPr>
                <w:rFonts w:ascii="Arial" w:eastAsia="Arial" w:hAnsi="Arial" w:cs="Arial"/>
                <w:color w:val="auto"/>
                <w:sz w:val="22"/>
                <w:szCs w:val="22"/>
              </w:rPr>
              <w:t xml:space="preserve">94 </w:t>
            </w:r>
            <w:r w:rsidRPr="00E85451">
              <w:rPr>
                <w:rFonts w:ascii="Arial" w:eastAsia="Arial" w:hAnsi="Arial" w:cs="Arial"/>
                <w:color w:val="auto"/>
                <w:sz w:val="22"/>
                <w:szCs w:val="22"/>
              </w:rPr>
              <w:t xml:space="preserve">mobilnost nastavnog osoblja </w:t>
            </w:r>
          </w:p>
          <w:p w:rsidR="00C50BEF" w:rsidRPr="00E85451" w:rsidRDefault="00C50BEF" w:rsidP="00C50BEF">
            <w:pPr>
              <w:ind w:right="-8"/>
              <w:jc w:val="both"/>
              <w:rPr>
                <w:rFonts w:ascii="Arial" w:hAnsi="Arial" w:cs="Arial"/>
                <w:color w:val="auto"/>
                <w:sz w:val="22"/>
                <w:szCs w:val="22"/>
              </w:rPr>
            </w:pPr>
          </w:p>
          <w:p w:rsidR="00C50BEF" w:rsidRPr="00E85451" w:rsidRDefault="008C2AC4" w:rsidP="00C50BEF">
            <w:pPr>
              <w:ind w:right="-8"/>
              <w:jc w:val="both"/>
              <w:rPr>
                <w:rFonts w:ascii="Arial" w:hAnsi="Arial" w:cs="Arial"/>
                <w:color w:val="auto"/>
                <w:sz w:val="22"/>
                <w:szCs w:val="22"/>
              </w:rPr>
            </w:pPr>
            <w:r w:rsidRPr="00E85451">
              <w:rPr>
                <w:rFonts w:ascii="Arial" w:eastAsia="Arial" w:hAnsi="Arial" w:cs="Arial"/>
                <w:color w:val="auto"/>
                <w:sz w:val="22"/>
                <w:szCs w:val="22"/>
              </w:rPr>
              <w:t>Broj pojedinačnih korisnika / odlazn</w:t>
            </w:r>
            <w:r w:rsidR="002B7707" w:rsidRPr="00E85451">
              <w:rPr>
                <w:rFonts w:ascii="Arial" w:eastAsia="Arial" w:hAnsi="Arial" w:cs="Arial"/>
                <w:color w:val="auto"/>
                <w:sz w:val="22"/>
                <w:szCs w:val="22"/>
              </w:rPr>
              <w:t>e</w:t>
            </w:r>
            <w:r w:rsidRPr="00E85451">
              <w:rPr>
                <w:rFonts w:ascii="Arial" w:eastAsia="Arial" w:hAnsi="Arial" w:cs="Arial"/>
                <w:color w:val="auto"/>
                <w:sz w:val="22"/>
                <w:szCs w:val="22"/>
              </w:rPr>
              <w:t xml:space="preserve"> mobilnost</w:t>
            </w:r>
            <w:r w:rsidR="002B7707" w:rsidRPr="00E85451">
              <w:rPr>
                <w:rFonts w:ascii="Arial" w:eastAsia="Arial" w:hAnsi="Arial" w:cs="Arial"/>
                <w:color w:val="auto"/>
                <w:sz w:val="22"/>
                <w:szCs w:val="22"/>
              </w:rPr>
              <w:t>i</w:t>
            </w:r>
            <w:r w:rsidRPr="00E85451">
              <w:rPr>
                <w:rFonts w:ascii="Arial" w:eastAsia="Arial" w:hAnsi="Arial" w:cs="Arial"/>
                <w:color w:val="auto"/>
                <w:sz w:val="22"/>
                <w:szCs w:val="22"/>
              </w:rPr>
              <w:t xml:space="preserve">: </w:t>
            </w:r>
          </w:p>
          <w:p w:rsidR="00C50BEF" w:rsidRPr="00E85451" w:rsidRDefault="008C2AC4" w:rsidP="00C50BEF">
            <w:pPr>
              <w:ind w:right="-8"/>
              <w:jc w:val="both"/>
              <w:rPr>
                <w:rFonts w:ascii="Arial" w:hAnsi="Arial" w:cs="Arial"/>
                <w:color w:val="auto"/>
                <w:sz w:val="22"/>
                <w:szCs w:val="22"/>
              </w:rPr>
            </w:pPr>
            <w:r w:rsidRPr="00E85451">
              <w:rPr>
                <w:rFonts w:ascii="Arial" w:eastAsia="Arial" w:hAnsi="Arial" w:cs="Arial"/>
                <w:color w:val="auto"/>
                <w:sz w:val="22"/>
                <w:szCs w:val="22"/>
              </w:rPr>
              <w:t xml:space="preserve"> </w:t>
            </w:r>
            <w:r w:rsidR="00C50BEF" w:rsidRPr="00E85451">
              <w:rPr>
                <w:rFonts w:ascii="Arial" w:eastAsia="Arial" w:hAnsi="Arial" w:cs="Arial"/>
                <w:color w:val="auto"/>
                <w:sz w:val="22"/>
                <w:szCs w:val="22"/>
              </w:rPr>
              <w:t xml:space="preserve">220 </w:t>
            </w:r>
            <w:r w:rsidRPr="00E85451">
              <w:rPr>
                <w:rFonts w:ascii="Arial" w:eastAsia="Arial" w:hAnsi="Arial" w:cs="Arial"/>
                <w:color w:val="auto"/>
                <w:sz w:val="22"/>
                <w:szCs w:val="22"/>
              </w:rPr>
              <w:t xml:space="preserve">studentskih mobilnosti </w:t>
            </w:r>
          </w:p>
          <w:p w:rsidR="00C50BEF" w:rsidRPr="00E85451" w:rsidRDefault="008C2AC4" w:rsidP="00C50BEF">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 </w:t>
            </w:r>
            <w:r w:rsidR="00C50BEF" w:rsidRPr="00E85451">
              <w:rPr>
                <w:rFonts w:ascii="Arial" w:eastAsia="Arial" w:hAnsi="Arial" w:cs="Arial"/>
                <w:color w:val="auto"/>
                <w:sz w:val="22"/>
                <w:szCs w:val="22"/>
              </w:rPr>
              <w:t xml:space="preserve">100 </w:t>
            </w:r>
            <w:r w:rsidRPr="00E85451">
              <w:rPr>
                <w:rFonts w:ascii="Arial" w:eastAsia="Arial" w:hAnsi="Arial" w:cs="Arial"/>
                <w:color w:val="auto"/>
                <w:sz w:val="22"/>
                <w:szCs w:val="22"/>
              </w:rPr>
              <w:t>mobilnosti nastavnog osoblja</w:t>
            </w:r>
          </w:p>
          <w:p w:rsidR="00C50BEF" w:rsidRPr="00E85451" w:rsidRDefault="00C50BEF">
            <w:pPr>
              <w:ind w:right="-8"/>
              <w:jc w:val="both"/>
              <w:rPr>
                <w:rFonts w:ascii="Arial" w:hAnsi="Arial" w:cs="Arial"/>
                <w:color w:val="auto"/>
                <w:sz w:val="22"/>
                <w:szCs w:val="22"/>
                <w:highlight w:val="yellow"/>
              </w:rPr>
            </w:pPr>
          </w:p>
        </w:tc>
      </w:tr>
      <w:tr w:rsidR="00E85451" w:rsidRPr="00E85451">
        <w:tc>
          <w:tcPr>
            <w:tcW w:w="1560" w:type="dxa"/>
            <w:tcMar>
              <w:top w:w="88" w:type="dxa"/>
              <w:left w:w="88" w:type="dxa"/>
              <w:bottom w:w="88" w:type="dxa"/>
              <w:right w:w="88" w:type="dxa"/>
            </w:tcMar>
          </w:tcPr>
          <w:p w:rsidR="00C50BEF" w:rsidRPr="00E85451" w:rsidRDefault="00C50BEF" w:rsidP="00F85FBF">
            <w:pPr>
              <w:ind w:right="-8"/>
              <w:rPr>
                <w:rFonts w:ascii="Arial" w:hAnsi="Arial" w:cs="Arial"/>
                <w:color w:val="auto"/>
                <w:sz w:val="22"/>
                <w:szCs w:val="22"/>
              </w:rPr>
            </w:pPr>
            <w:r w:rsidRPr="00E85451">
              <w:rPr>
                <w:rFonts w:ascii="Arial" w:eastAsia="Arial" w:hAnsi="Arial" w:cs="Arial"/>
                <w:color w:val="auto"/>
                <w:sz w:val="22"/>
                <w:szCs w:val="22"/>
              </w:rPr>
              <w:lastRenderedPageBreak/>
              <w:t xml:space="preserve">Promotivne, informativne i potporne aktivnosti </w:t>
            </w:r>
          </w:p>
        </w:tc>
        <w:tc>
          <w:tcPr>
            <w:tcW w:w="8159" w:type="dxa"/>
            <w:tcMar>
              <w:top w:w="88" w:type="dxa"/>
              <w:left w:w="88" w:type="dxa"/>
              <w:bottom w:w="88" w:type="dxa"/>
              <w:right w:w="88" w:type="dxa"/>
            </w:tcMar>
          </w:tcPr>
          <w:p w:rsidR="005E3AD9" w:rsidRPr="00E85451" w:rsidRDefault="00C50BEF" w:rsidP="007E4E76">
            <w:pPr>
              <w:ind w:right="-8"/>
              <w:jc w:val="both"/>
              <w:rPr>
                <w:rFonts w:ascii="Arial" w:eastAsia="Arial" w:hAnsi="Arial" w:cs="Arial"/>
                <w:color w:val="auto"/>
                <w:sz w:val="22"/>
                <w:szCs w:val="22"/>
              </w:rPr>
            </w:pPr>
            <w:r w:rsidRPr="00E85451">
              <w:rPr>
                <w:rFonts w:ascii="Arial" w:eastAsia="Arial" w:hAnsi="Arial" w:cs="Arial"/>
                <w:color w:val="auto"/>
                <w:sz w:val="22"/>
                <w:szCs w:val="22"/>
              </w:rPr>
              <w:t>Tijekom 2014. godine Nacionalni ured za CEEPUS bio je organizator CEEPUS Nacionalnog sastanka u Zagrebu u listopadu 2014. godine, na kojemu je sudjelovao</w:t>
            </w:r>
            <w:r w:rsidR="001055C3" w:rsidRPr="00E85451">
              <w:rPr>
                <w:rFonts w:ascii="Arial" w:eastAsia="Arial" w:hAnsi="Arial" w:cs="Arial"/>
                <w:color w:val="auto"/>
                <w:sz w:val="22"/>
                <w:szCs w:val="22"/>
              </w:rPr>
              <w:t xml:space="preserve"> </w:t>
            </w:r>
            <w:r w:rsidRPr="00E85451">
              <w:rPr>
                <w:rFonts w:ascii="Arial" w:eastAsia="Arial" w:hAnsi="Arial" w:cs="Arial"/>
                <w:color w:val="auto"/>
                <w:sz w:val="22"/>
                <w:szCs w:val="22"/>
              </w:rPr>
              <w:t>31 sudionik.</w:t>
            </w:r>
            <w:r w:rsidR="00247366" w:rsidRPr="00E85451">
              <w:rPr>
                <w:rFonts w:ascii="Arial" w:eastAsia="Arial" w:hAnsi="Arial" w:cs="Arial"/>
                <w:color w:val="auto"/>
                <w:sz w:val="22"/>
                <w:szCs w:val="22"/>
              </w:rPr>
              <w:t xml:space="preserve"> </w:t>
            </w:r>
            <w:r w:rsidRPr="00E85451">
              <w:rPr>
                <w:rFonts w:ascii="Arial" w:eastAsia="Arial" w:hAnsi="Arial" w:cs="Arial"/>
                <w:color w:val="auto"/>
                <w:sz w:val="22"/>
                <w:szCs w:val="22"/>
              </w:rPr>
              <w:t>Djelatnice Nacionalnog ureda za CEEPUS predstavile su program na Sajmu stipendija u Zagrebu i Rijeci, te na Danu inženjera i na Danu karijera u Zagrebu, kao i na Info danu u Slavonskom Brodu održanom u travnju 2014.</w:t>
            </w:r>
            <w:r w:rsidR="002B7707" w:rsidRPr="00E85451">
              <w:rPr>
                <w:rFonts w:ascii="Arial" w:eastAsia="Arial" w:hAnsi="Arial" w:cs="Arial"/>
                <w:color w:val="auto"/>
                <w:sz w:val="22"/>
                <w:szCs w:val="22"/>
              </w:rPr>
              <w:t xml:space="preserve"> g.</w:t>
            </w:r>
          </w:p>
        </w:tc>
      </w:tr>
      <w:tr w:rsidR="00E85451" w:rsidRPr="00E85451">
        <w:tc>
          <w:tcPr>
            <w:tcW w:w="1560" w:type="dxa"/>
            <w:tcMar>
              <w:top w:w="88" w:type="dxa"/>
              <w:left w:w="88" w:type="dxa"/>
              <w:bottom w:w="88" w:type="dxa"/>
              <w:right w:w="88" w:type="dxa"/>
            </w:tcMar>
          </w:tcPr>
          <w:p w:rsidR="00C50BEF" w:rsidRPr="00E85451" w:rsidRDefault="00C50BEF" w:rsidP="00F85FBF">
            <w:pPr>
              <w:ind w:right="-8"/>
              <w:rPr>
                <w:rFonts w:ascii="Arial" w:eastAsia="Arial" w:hAnsi="Arial" w:cs="Arial"/>
                <w:color w:val="auto"/>
                <w:sz w:val="22"/>
                <w:szCs w:val="22"/>
              </w:rPr>
            </w:pPr>
            <w:r w:rsidRPr="00E85451">
              <w:rPr>
                <w:rFonts w:ascii="Arial" w:eastAsia="Arial" w:hAnsi="Arial" w:cs="Arial"/>
                <w:color w:val="auto"/>
                <w:sz w:val="22"/>
                <w:szCs w:val="22"/>
              </w:rPr>
              <w:t>Promotivni materijali</w:t>
            </w:r>
          </w:p>
        </w:tc>
        <w:tc>
          <w:tcPr>
            <w:tcW w:w="8159" w:type="dxa"/>
            <w:tcMar>
              <w:top w:w="88" w:type="dxa"/>
              <w:left w:w="88" w:type="dxa"/>
              <w:bottom w:w="88" w:type="dxa"/>
              <w:right w:w="88" w:type="dxa"/>
            </w:tcMar>
          </w:tcPr>
          <w:p w:rsidR="00C50BEF" w:rsidRPr="00E85451" w:rsidRDefault="00247366" w:rsidP="00247366">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Nova </w:t>
            </w:r>
            <w:r w:rsidR="008C2AC4" w:rsidRPr="00E85451">
              <w:rPr>
                <w:rFonts w:ascii="Arial" w:eastAsia="Arial" w:hAnsi="Arial" w:cs="Arial"/>
                <w:color w:val="auto"/>
                <w:sz w:val="22"/>
                <w:szCs w:val="22"/>
              </w:rPr>
              <w:t>promotivna brošura: „Regionalna suradnja i mobilnost u visokom obrazovanju“</w:t>
            </w:r>
            <w:r w:rsidRPr="00E85451">
              <w:rPr>
                <w:rFonts w:ascii="Arial" w:eastAsia="Arial" w:hAnsi="Arial" w:cs="Arial"/>
                <w:color w:val="auto"/>
                <w:sz w:val="22"/>
                <w:szCs w:val="22"/>
              </w:rPr>
              <w:t>.</w:t>
            </w:r>
          </w:p>
          <w:p w:rsidR="00E742C6" w:rsidRPr="00E85451" w:rsidRDefault="00E742C6" w:rsidP="00247366">
            <w:pPr>
              <w:ind w:right="-8"/>
              <w:jc w:val="both"/>
              <w:rPr>
                <w:rFonts w:ascii="Arial" w:eastAsia="Arial" w:hAnsi="Arial" w:cs="Arial"/>
                <w:color w:val="auto"/>
                <w:sz w:val="22"/>
                <w:szCs w:val="22"/>
              </w:rPr>
            </w:pPr>
          </w:p>
        </w:tc>
      </w:tr>
    </w:tbl>
    <w:p w:rsidR="000F3799" w:rsidRPr="00E85451" w:rsidRDefault="000F3799">
      <w:pPr>
        <w:rPr>
          <w:rFonts w:ascii="Arial" w:hAnsi="Arial" w:cs="Arial"/>
          <w:color w:val="auto"/>
          <w:sz w:val="22"/>
          <w:szCs w:val="22"/>
        </w:rPr>
      </w:pPr>
    </w:p>
    <w:p w:rsidR="005E3AD9" w:rsidRPr="000F3158" w:rsidRDefault="004B6D1D" w:rsidP="00601741">
      <w:pPr>
        <w:pStyle w:val="Heading2"/>
        <w:rPr>
          <w:rFonts w:ascii="Arial" w:hAnsi="Arial" w:cs="Arial"/>
          <w:color w:val="auto"/>
          <w:sz w:val="24"/>
          <w:szCs w:val="24"/>
        </w:rPr>
      </w:pPr>
      <w:bookmarkStart w:id="16" w:name="h.2s8eyo1" w:colFirst="0" w:colLast="0"/>
      <w:bookmarkStart w:id="17" w:name="_Toc419192156"/>
      <w:bookmarkEnd w:id="16"/>
      <w:r w:rsidRPr="000F3158">
        <w:rPr>
          <w:rFonts w:ascii="Arial" w:hAnsi="Arial" w:cs="Arial"/>
          <w:color w:val="auto"/>
          <w:sz w:val="24"/>
          <w:szCs w:val="24"/>
        </w:rPr>
        <w:t>2.5</w:t>
      </w:r>
      <w:r w:rsidR="00923EE2" w:rsidRPr="000F3158">
        <w:rPr>
          <w:rFonts w:ascii="Arial" w:hAnsi="Arial" w:cs="Arial"/>
          <w:color w:val="auto"/>
          <w:sz w:val="24"/>
          <w:szCs w:val="24"/>
        </w:rPr>
        <w:t>. Bilateralni program akademske mobilnosti</w:t>
      </w:r>
      <w:bookmarkEnd w:id="17"/>
    </w:p>
    <w:p w:rsidR="000F3799" w:rsidRPr="00E85451" w:rsidRDefault="000F3799">
      <w:pPr>
        <w:ind w:right="-8"/>
        <w:jc w:val="both"/>
        <w:rPr>
          <w:rFonts w:ascii="Arial" w:hAnsi="Arial" w:cs="Arial"/>
          <w:color w:val="auto"/>
          <w:sz w:val="22"/>
          <w:szCs w:val="22"/>
        </w:rPr>
      </w:pPr>
    </w:p>
    <w:tbl>
      <w:tblPr>
        <w:tblW w:w="9570" w:type="dxa"/>
        <w:tblInd w:w="-478" w:type="dxa"/>
        <w:tblLayout w:type="fixed"/>
        <w:tblLook w:val="0600" w:firstRow="0" w:lastRow="0" w:firstColumn="0" w:lastColumn="0" w:noHBand="1" w:noVBand="1"/>
      </w:tblPr>
      <w:tblGrid>
        <w:gridCol w:w="1620"/>
        <w:gridCol w:w="7950"/>
      </w:tblGrid>
      <w:tr w:rsidR="00E85451" w:rsidRPr="00E85451">
        <w:tc>
          <w:tcPr>
            <w:tcW w:w="1620" w:type="dxa"/>
            <w:tcMar>
              <w:top w:w="88" w:type="dxa"/>
              <w:left w:w="88" w:type="dxa"/>
              <w:bottom w:w="88" w:type="dxa"/>
              <w:right w:w="88" w:type="dxa"/>
            </w:tcMar>
          </w:tcPr>
          <w:p w:rsidR="000F3799" w:rsidRPr="00E85451" w:rsidRDefault="00923EE2" w:rsidP="00F85FBF">
            <w:pPr>
              <w:ind w:right="-8"/>
              <w:rPr>
                <w:rFonts w:ascii="Arial" w:hAnsi="Arial" w:cs="Arial"/>
                <w:color w:val="auto"/>
                <w:sz w:val="22"/>
                <w:szCs w:val="22"/>
              </w:rPr>
            </w:pPr>
            <w:r w:rsidRPr="00E85451">
              <w:rPr>
                <w:rFonts w:ascii="Arial" w:eastAsia="Arial" w:hAnsi="Arial" w:cs="Arial"/>
                <w:color w:val="auto"/>
                <w:sz w:val="22"/>
                <w:szCs w:val="22"/>
              </w:rPr>
              <w:t>Ukratko o programu i ciljevima:</w:t>
            </w:r>
          </w:p>
        </w:tc>
        <w:tc>
          <w:tcPr>
            <w:tcW w:w="7950" w:type="dxa"/>
            <w:tcMar>
              <w:top w:w="88" w:type="dxa"/>
              <w:left w:w="88" w:type="dxa"/>
              <w:bottom w:w="88" w:type="dxa"/>
              <w:right w:w="88" w:type="dxa"/>
            </w:tcMar>
          </w:tcPr>
          <w:p w:rsidR="00FD5E9B" w:rsidRPr="00E85451" w:rsidRDefault="00FD5E9B" w:rsidP="00FD5E9B">
            <w:pPr>
              <w:ind w:right="-8"/>
              <w:jc w:val="both"/>
              <w:rPr>
                <w:rFonts w:ascii="Arial" w:hAnsi="Arial" w:cs="Arial"/>
                <w:color w:val="auto"/>
                <w:sz w:val="22"/>
                <w:szCs w:val="22"/>
              </w:rPr>
            </w:pPr>
            <w:r w:rsidRPr="00E85451">
              <w:rPr>
                <w:rFonts w:ascii="Arial" w:eastAsia="Arial" w:hAnsi="Arial" w:cs="Arial"/>
                <w:color w:val="auto"/>
                <w:sz w:val="22"/>
                <w:szCs w:val="22"/>
              </w:rPr>
              <w:t>Bilateralni program akademske mobilnosti odnosi se na stipendiranje državljana Republike Hrvatske i stranih državljana temeljem bilateralnih akata suradnje u obrazovanju i znanosti koje je Republika Hrvatska potpisala sa zemljama partnerima u inozemstvu.</w:t>
            </w:r>
          </w:p>
          <w:p w:rsidR="00FD5E9B" w:rsidRPr="00E85451" w:rsidRDefault="00FD5E9B" w:rsidP="00FD5E9B">
            <w:pPr>
              <w:ind w:right="-8"/>
              <w:jc w:val="both"/>
              <w:rPr>
                <w:rFonts w:ascii="Arial" w:hAnsi="Arial" w:cs="Arial"/>
                <w:color w:val="auto"/>
                <w:sz w:val="22"/>
                <w:szCs w:val="22"/>
              </w:rPr>
            </w:pPr>
            <w:r w:rsidRPr="00E85451">
              <w:rPr>
                <w:rFonts w:ascii="Arial" w:eastAsia="Arial" w:hAnsi="Arial" w:cs="Arial"/>
                <w:color w:val="auto"/>
                <w:sz w:val="22"/>
                <w:szCs w:val="22"/>
              </w:rPr>
              <w:t>Ministarstvo znanosti, obrazovanja i sporta ima sklopljene sporazume s 30 zemalja, a hrvatski se državljani mogu prijaviti na natječaje za stipendije koje periodički raspisuju sljedeće zemlje</w:t>
            </w:r>
            <w:r w:rsidR="00247366" w:rsidRPr="00E85451">
              <w:rPr>
                <w:rFonts w:ascii="Arial" w:eastAsia="Arial" w:hAnsi="Arial" w:cs="Arial"/>
                <w:color w:val="auto"/>
                <w:sz w:val="22"/>
                <w:szCs w:val="22"/>
              </w:rPr>
              <w:t>:</w:t>
            </w:r>
            <w:r w:rsidRPr="00E85451">
              <w:rPr>
                <w:rFonts w:ascii="Arial" w:eastAsia="Arial" w:hAnsi="Arial" w:cs="Arial"/>
                <w:color w:val="auto"/>
                <w:sz w:val="22"/>
                <w:szCs w:val="22"/>
              </w:rPr>
              <w:t xml:space="preserve"> Austrija, Australija, Bugarska, Crna Gora, Češka, Francuska, Grčka, Japan, Kanada, Kina, Mađarska, Makedonija, Njemačka, Poljska, Portugal, Ruska Federacija, Rumunjska, SAD, Slovačka, Švicarska, Turska, Ukrajina i Velika Britanija.</w:t>
            </w:r>
          </w:p>
          <w:p w:rsidR="00FD5E9B" w:rsidRPr="00E85451" w:rsidRDefault="00FD5E9B" w:rsidP="00FD5E9B">
            <w:pPr>
              <w:ind w:right="-8"/>
              <w:jc w:val="both"/>
              <w:rPr>
                <w:rFonts w:ascii="Arial" w:eastAsia="Arial" w:hAnsi="Arial" w:cs="Arial"/>
                <w:color w:val="auto"/>
                <w:sz w:val="22"/>
                <w:szCs w:val="22"/>
              </w:rPr>
            </w:pPr>
            <w:r w:rsidRPr="00E85451">
              <w:rPr>
                <w:rFonts w:ascii="Arial" w:eastAsia="Arial" w:hAnsi="Arial" w:cs="Arial"/>
                <w:color w:val="auto"/>
                <w:sz w:val="22"/>
                <w:szCs w:val="22"/>
              </w:rPr>
              <w:t>Osnovni cilj programa jest osigurati uspješnu provedbu kvalitetne akademske mobilnosti studenata, doktoranada, postdoktoranada te istraživača unutar i izvan Europskog prostora visokog obrazovanja, kao sredstva podizanja kvalitete sustava obrazovanja i znanosti u okviru međusveučilišne i međudržavne suradnje.</w:t>
            </w:r>
          </w:p>
          <w:p w:rsidR="000F3799" w:rsidRPr="00E85451" w:rsidRDefault="000F3799">
            <w:pPr>
              <w:ind w:right="-8"/>
              <w:jc w:val="both"/>
              <w:rPr>
                <w:rFonts w:ascii="Arial" w:hAnsi="Arial" w:cs="Arial"/>
                <w:color w:val="auto"/>
                <w:sz w:val="22"/>
                <w:szCs w:val="22"/>
                <w:highlight w:val="yellow"/>
              </w:rPr>
            </w:pPr>
          </w:p>
        </w:tc>
      </w:tr>
      <w:tr w:rsidR="00E85451" w:rsidRPr="00E85451">
        <w:tc>
          <w:tcPr>
            <w:tcW w:w="1620" w:type="dxa"/>
            <w:tcMar>
              <w:top w:w="88" w:type="dxa"/>
              <w:left w:w="88" w:type="dxa"/>
              <w:bottom w:w="88" w:type="dxa"/>
              <w:right w:w="88" w:type="dxa"/>
            </w:tcMar>
          </w:tcPr>
          <w:p w:rsidR="0003513E" w:rsidRPr="00E85451" w:rsidRDefault="0003513E" w:rsidP="00F85FBF">
            <w:pPr>
              <w:ind w:right="-8"/>
              <w:rPr>
                <w:rFonts w:ascii="Arial" w:eastAsia="Arial" w:hAnsi="Arial" w:cs="Arial"/>
                <w:color w:val="auto"/>
                <w:sz w:val="22"/>
                <w:szCs w:val="22"/>
              </w:rPr>
            </w:pPr>
            <w:r w:rsidRPr="00E85451">
              <w:rPr>
                <w:rFonts w:ascii="Arial" w:eastAsia="Arial" w:hAnsi="Arial" w:cs="Arial"/>
                <w:color w:val="auto"/>
                <w:sz w:val="22"/>
                <w:szCs w:val="22"/>
              </w:rPr>
              <w:t>Pravna osnova</w:t>
            </w:r>
          </w:p>
        </w:tc>
        <w:tc>
          <w:tcPr>
            <w:tcW w:w="7950" w:type="dxa"/>
            <w:tcMar>
              <w:top w:w="88" w:type="dxa"/>
              <w:left w:w="88" w:type="dxa"/>
              <w:bottom w:w="88" w:type="dxa"/>
              <w:right w:w="88" w:type="dxa"/>
            </w:tcMar>
          </w:tcPr>
          <w:p w:rsidR="0003513E" w:rsidRPr="00E85451" w:rsidRDefault="006A4DD4" w:rsidP="00247366">
            <w:pPr>
              <w:ind w:right="-8"/>
              <w:jc w:val="both"/>
              <w:rPr>
                <w:rFonts w:ascii="Arial" w:eastAsia="Arial" w:hAnsi="Arial" w:cs="Arial"/>
                <w:color w:val="auto"/>
                <w:sz w:val="22"/>
                <w:szCs w:val="22"/>
                <w:highlight w:val="yellow"/>
              </w:rPr>
            </w:pPr>
            <w:r w:rsidRPr="00E85451">
              <w:rPr>
                <w:rFonts w:ascii="Arial" w:eastAsia="Arial" w:hAnsi="Arial" w:cs="Arial"/>
                <w:color w:val="auto"/>
                <w:sz w:val="22"/>
                <w:szCs w:val="22"/>
              </w:rPr>
              <w:t xml:space="preserve">Temeljem Odluke Ministarstva znanosti, obrazovanja i sporta od 5. srpnja 2011. godine (klasa: 605-01/11-01/00001, urbroj: 533-06-11-0003) Agencija je zadužena za provedbu Bilateralnog programa akademske mobilnosti te za osiguravanje potrebnih ljudskih i materijalnih resursa za njihovu provedbu. </w:t>
            </w:r>
          </w:p>
        </w:tc>
      </w:tr>
      <w:tr w:rsidR="00E85451" w:rsidRPr="00E85451">
        <w:tc>
          <w:tcPr>
            <w:tcW w:w="1620" w:type="dxa"/>
            <w:tcMar>
              <w:top w:w="88" w:type="dxa"/>
              <w:left w:w="88" w:type="dxa"/>
              <w:bottom w:w="88" w:type="dxa"/>
              <w:right w:w="88" w:type="dxa"/>
            </w:tcMar>
          </w:tcPr>
          <w:p w:rsidR="000F3799" w:rsidRPr="00E85451" w:rsidRDefault="00923EE2" w:rsidP="00C16F59">
            <w:pPr>
              <w:ind w:right="-8"/>
              <w:rPr>
                <w:rFonts w:ascii="Arial" w:hAnsi="Arial" w:cs="Arial"/>
                <w:color w:val="auto"/>
                <w:sz w:val="22"/>
                <w:szCs w:val="22"/>
              </w:rPr>
            </w:pPr>
            <w:r w:rsidRPr="00E85451">
              <w:rPr>
                <w:rFonts w:ascii="Arial" w:eastAsia="Arial" w:hAnsi="Arial" w:cs="Arial"/>
                <w:color w:val="auto"/>
                <w:sz w:val="22"/>
                <w:szCs w:val="22"/>
              </w:rPr>
              <w:t>Raspoloži</w:t>
            </w:r>
            <w:r w:rsidR="001C615B" w:rsidRPr="00E85451">
              <w:rPr>
                <w:rFonts w:ascii="Arial" w:eastAsia="Arial" w:hAnsi="Arial" w:cs="Arial"/>
                <w:color w:val="auto"/>
                <w:sz w:val="22"/>
                <w:szCs w:val="22"/>
              </w:rPr>
              <w:t xml:space="preserve">va sredstva za stipendije u </w:t>
            </w:r>
            <w:r w:rsidR="00C16F59" w:rsidRPr="00E85451">
              <w:rPr>
                <w:rFonts w:ascii="Arial" w:eastAsia="Arial" w:hAnsi="Arial" w:cs="Arial"/>
                <w:color w:val="auto"/>
                <w:sz w:val="22"/>
                <w:szCs w:val="22"/>
              </w:rPr>
              <w:t>2014</w:t>
            </w:r>
            <w:r w:rsidRPr="00E85451">
              <w:rPr>
                <w:rFonts w:ascii="Arial" w:eastAsia="Arial" w:hAnsi="Arial" w:cs="Arial"/>
                <w:color w:val="auto"/>
                <w:sz w:val="22"/>
                <w:szCs w:val="22"/>
              </w:rPr>
              <w:t>.</w:t>
            </w:r>
          </w:p>
        </w:tc>
        <w:tc>
          <w:tcPr>
            <w:tcW w:w="7950" w:type="dxa"/>
            <w:tcMar>
              <w:top w:w="88" w:type="dxa"/>
              <w:left w:w="88" w:type="dxa"/>
              <w:bottom w:w="88" w:type="dxa"/>
              <w:right w:w="88" w:type="dxa"/>
            </w:tcMar>
          </w:tcPr>
          <w:p w:rsidR="00FD5E9B" w:rsidRPr="00E85451" w:rsidRDefault="00FD5E9B">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Unutar proračuna Agencije, raspoloživa sredstva za stipendije u okviru programa CEEPUS i Bilateralnog programa akademske mobilnosti prikazana su zbirno te iznose </w:t>
            </w:r>
            <w:r w:rsidRPr="00E85451">
              <w:rPr>
                <w:rFonts w:ascii="Arial" w:eastAsia="Calibri" w:hAnsi="Arial" w:cs="Arial"/>
                <w:color w:val="auto"/>
                <w:sz w:val="22"/>
                <w:szCs w:val="22"/>
              </w:rPr>
              <w:t>2.615.457,00</w:t>
            </w:r>
            <w:r w:rsidRPr="00E85451">
              <w:rPr>
                <w:rFonts w:ascii="Arial" w:eastAsia="Arial" w:hAnsi="Arial" w:cs="Arial"/>
                <w:color w:val="auto"/>
                <w:sz w:val="22"/>
                <w:szCs w:val="22"/>
              </w:rPr>
              <w:t xml:space="preserve"> kuna</w:t>
            </w:r>
          </w:p>
          <w:p w:rsidR="000F3799" w:rsidRPr="00E85451" w:rsidRDefault="000F3799">
            <w:pPr>
              <w:ind w:right="-8"/>
              <w:jc w:val="both"/>
              <w:rPr>
                <w:rFonts w:ascii="Arial" w:hAnsi="Arial" w:cs="Arial"/>
                <w:color w:val="auto"/>
                <w:sz w:val="22"/>
                <w:szCs w:val="22"/>
                <w:highlight w:val="yellow"/>
              </w:rPr>
            </w:pPr>
          </w:p>
        </w:tc>
      </w:tr>
      <w:tr w:rsidR="00E85451" w:rsidRPr="00E85451">
        <w:tc>
          <w:tcPr>
            <w:tcW w:w="1620" w:type="dxa"/>
            <w:tcMar>
              <w:top w:w="88" w:type="dxa"/>
              <w:left w:w="88" w:type="dxa"/>
              <w:bottom w:w="88" w:type="dxa"/>
              <w:right w:w="88" w:type="dxa"/>
            </w:tcMar>
          </w:tcPr>
          <w:p w:rsidR="000F3799" w:rsidRPr="00E85451" w:rsidRDefault="00923EE2">
            <w:pPr>
              <w:ind w:right="-8"/>
              <w:jc w:val="both"/>
              <w:rPr>
                <w:rFonts w:ascii="Arial" w:hAnsi="Arial" w:cs="Arial"/>
                <w:color w:val="auto"/>
                <w:sz w:val="22"/>
                <w:szCs w:val="22"/>
              </w:rPr>
            </w:pPr>
            <w:r w:rsidRPr="00E85451">
              <w:rPr>
                <w:rFonts w:ascii="Arial" w:eastAsia="Arial" w:hAnsi="Arial" w:cs="Arial"/>
                <w:color w:val="auto"/>
                <w:sz w:val="22"/>
                <w:szCs w:val="22"/>
              </w:rPr>
              <w:t>Ugovorena sredstva</w:t>
            </w:r>
          </w:p>
        </w:tc>
        <w:tc>
          <w:tcPr>
            <w:tcW w:w="7950" w:type="dxa"/>
            <w:tcMar>
              <w:top w:w="88" w:type="dxa"/>
              <w:left w:w="88" w:type="dxa"/>
              <w:bottom w:w="88" w:type="dxa"/>
              <w:right w:w="88" w:type="dxa"/>
            </w:tcMar>
          </w:tcPr>
          <w:p w:rsidR="00FD5E9B" w:rsidRPr="00E85451" w:rsidRDefault="00FD5E9B" w:rsidP="00FD5E9B">
            <w:pPr>
              <w:ind w:right="-8"/>
              <w:jc w:val="both"/>
              <w:rPr>
                <w:rFonts w:ascii="Arial" w:hAnsi="Arial" w:cs="Arial"/>
                <w:color w:val="auto"/>
                <w:sz w:val="22"/>
                <w:szCs w:val="22"/>
              </w:rPr>
            </w:pPr>
            <w:r w:rsidRPr="00E85451">
              <w:rPr>
                <w:rFonts w:ascii="Arial" w:eastAsia="Arial" w:hAnsi="Arial" w:cs="Arial"/>
                <w:color w:val="auto"/>
                <w:sz w:val="22"/>
                <w:szCs w:val="22"/>
              </w:rPr>
              <w:t>Iznosi ugovorenih sredstava:</w:t>
            </w:r>
          </w:p>
          <w:p w:rsidR="00FD5E9B" w:rsidRPr="00E85451" w:rsidRDefault="00FD5E9B" w:rsidP="00FD5E9B">
            <w:pPr>
              <w:ind w:right="-8"/>
              <w:jc w:val="both"/>
              <w:rPr>
                <w:rFonts w:ascii="Arial" w:hAnsi="Arial" w:cs="Arial"/>
                <w:color w:val="auto"/>
                <w:sz w:val="22"/>
                <w:szCs w:val="22"/>
              </w:rPr>
            </w:pPr>
            <w:r w:rsidRPr="00E85451">
              <w:rPr>
                <w:rFonts w:ascii="Arial" w:eastAsia="Arial" w:hAnsi="Arial" w:cs="Arial"/>
                <w:color w:val="auto"/>
                <w:sz w:val="22"/>
                <w:szCs w:val="22"/>
              </w:rPr>
              <w:t>Stipendije:   878.978,93 HRK</w:t>
            </w:r>
          </w:p>
          <w:p w:rsidR="00FD5E9B" w:rsidRPr="00E85451" w:rsidRDefault="00FD5E9B" w:rsidP="00FD5E9B">
            <w:pPr>
              <w:ind w:right="-8"/>
              <w:jc w:val="both"/>
              <w:rPr>
                <w:rFonts w:ascii="Arial" w:hAnsi="Arial" w:cs="Arial"/>
                <w:color w:val="auto"/>
                <w:sz w:val="22"/>
                <w:szCs w:val="22"/>
              </w:rPr>
            </w:pPr>
            <w:r w:rsidRPr="00E85451">
              <w:rPr>
                <w:rFonts w:ascii="Arial" w:eastAsia="Arial" w:hAnsi="Arial" w:cs="Arial"/>
                <w:color w:val="auto"/>
                <w:sz w:val="22"/>
                <w:szCs w:val="22"/>
              </w:rPr>
              <w:t>Prijevoz:     364.608,99 HRK</w:t>
            </w:r>
          </w:p>
          <w:p w:rsidR="000F3799" w:rsidRPr="00E85451" w:rsidRDefault="00FD5E9B">
            <w:pPr>
              <w:ind w:right="-8"/>
              <w:jc w:val="both"/>
              <w:rPr>
                <w:rFonts w:ascii="Arial" w:hAnsi="Arial" w:cs="Arial"/>
                <w:color w:val="auto"/>
                <w:sz w:val="22"/>
                <w:szCs w:val="22"/>
                <w:highlight w:val="yellow"/>
              </w:rPr>
            </w:pPr>
            <w:r w:rsidRPr="00E85451">
              <w:rPr>
                <w:rFonts w:ascii="Arial" w:eastAsia="Arial" w:hAnsi="Arial" w:cs="Arial"/>
                <w:color w:val="auto"/>
                <w:sz w:val="22"/>
                <w:szCs w:val="22"/>
              </w:rPr>
              <w:t>Ukupno:  1.243.587,92 HRK</w:t>
            </w:r>
          </w:p>
        </w:tc>
      </w:tr>
      <w:tr w:rsidR="00E85451" w:rsidRPr="00E85451">
        <w:tc>
          <w:tcPr>
            <w:tcW w:w="1620" w:type="dxa"/>
            <w:tcMar>
              <w:top w:w="88" w:type="dxa"/>
              <w:left w:w="88" w:type="dxa"/>
              <w:bottom w:w="88" w:type="dxa"/>
              <w:right w:w="88" w:type="dxa"/>
            </w:tcMar>
          </w:tcPr>
          <w:p w:rsidR="000F3799" w:rsidRPr="00E85451" w:rsidRDefault="00923EE2" w:rsidP="00F85FBF">
            <w:pPr>
              <w:ind w:right="-8"/>
              <w:rPr>
                <w:rFonts w:ascii="Arial" w:eastAsia="Arial" w:hAnsi="Arial" w:cs="Arial"/>
                <w:color w:val="auto"/>
                <w:sz w:val="22"/>
                <w:szCs w:val="22"/>
              </w:rPr>
            </w:pPr>
            <w:r w:rsidRPr="00E85451">
              <w:rPr>
                <w:rFonts w:ascii="Arial" w:eastAsia="Arial" w:hAnsi="Arial" w:cs="Arial"/>
                <w:color w:val="auto"/>
                <w:sz w:val="22"/>
                <w:szCs w:val="22"/>
              </w:rPr>
              <w:t>Broj raspisanih natječaja i rokovi za prijavu</w:t>
            </w:r>
          </w:p>
          <w:p w:rsidR="00306C67" w:rsidRPr="00E85451" w:rsidRDefault="00306C67" w:rsidP="00F85FBF">
            <w:pPr>
              <w:ind w:right="-8"/>
              <w:rPr>
                <w:rFonts w:ascii="Arial" w:eastAsia="Arial" w:hAnsi="Arial" w:cs="Arial"/>
                <w:color w:val="auto"/>
                <w:sz w:val="22"/>
                <w:szCs w:val="22"/>
              </w:rPr>
            </w:pPr>
          </w:p>
          <w:p w:rsidR="00306C67" w:rsidRPr="00E85451" w:rsidRDefault="00306C67" w:rsidP="00F85FBF">
            <w:pPr>
              <w:ind w:right="-8"/>
              <w:rPr>
                <w:rFonts w:ascii="Arial" w:eastAsia="Arial" w:hAnsi="Arial" w:cs="Arial"/>
                <w:color w:val="auto"/>
                <w:sz w:val="22"/>
                <w:szCs w:val="22"/>
              </w:rPr>
            </w:pPr>
          </w:p>
          <w:p w:rsidR="00306C67" w:rsidRPr="00E85451" w:rsidRDefault="00306C67" w:rsidP="00F85FBF">
            <w:pPr>
              <w:ind w:right="-8"/>
              <w:rPr>
                <w:rFonts w:ascii="Arial" w:eastAsia="Arial" w:hAnsi="Arial" w:cs="Arial"/>
                <w:color w:val="auto"/>
                <w:sz w:val="22"/>
                <w:szCs w:val="22"/>
              </w:rPr>
            </w:pPr>
          </w:p>
          <w:p w:rsidR="00306C67" w:rsidRPr="00E85451" w:rsidRDefault="00306C67" w:rsidP="00F85FBF">
            <w:pPr>
              <w:ind w:right="-8"/>
              <w:rPr>
                <w:rFonts w:ascii="Arial" w:eastAsia="Arial" w:hAnsi="Arial" w:cs="Arial"/>
                <w:color w:val="auto"/>
                <w:sz w:val="22"/>
                <w:szCs w:val="22"/>
              </w:rPr>
            </w:pPr>
          </w:p>
          <w:p w:rsidR="00306C67" w:rsidRPr="00E85451" w:rsidRDefault="00306C67" w:rsidP="00F85FBF">
            <w:pPr>
              <w:ind w:right="-8"/>
              <w:rPr>
                <w:rFonts w:ascii="Arial" w:eastAsia="Arial" w:hAnsi="Arial" w:cs="Arial"/>
                <w:color w:val="auto"/>
                <w:sz w:val="22"/>
                <w:szCs w:val="22"/>
              </w:rPr>
            </w:pPr>
          </w:p>
          <w:p w:rsidR="00306C67" w:rsidRPr="00E85451" w:rsidRDefault="00306C67" w:rsidP="00F85FBF">
            <w:pPr>
              <w:ind w:right="-8"/>
              <w:rPr>
                <w:rFonts w:ascii="Arial" w:eastAsia="Arial" w:hAnsi="Arial" w:cs="Arial"/>
                <w:color w:val="auto"/>
                <w:sz w:val="22"/>
                <w:szCs w:val="22"/>
              </w:rPr>
            </w:pPr>
          </w:p>
          <w:p w:rsidR="00306C67" w:rsidRPr="00E85451" w:rsidRDefault="00306C67" w:rsidP="00F85FBF">
            <w:pPr>
              <w:ind w:right="-8"/>
              <w:rPr>
                <w:rFonts w:ascii="Arial" w:eastAsia="Arial" w:hAnsi="Arial" w:cs="Arial"/>
                <w:color w:val="auto"/>
                <w:sz w:val="22"/>
                <w:szCs w:val="22"/>
              </w:rPr>
            </w:pPr>
          </w:p>
          <w:p w:rsidR="00306C67" w:rsidRPr="00E85451" w:rsidRDefault="00306C67" w:rsidP="00F85FBF">
            <w:pPr>
              <w:ind w:right="-8"/>
              <w:rPr>
                <w:rFonts w:ascii="Arial" w:eastAsia="Arial" w:hAnsi="Arial" w:cs="Arial"/>
                <w:color w:val="auto"/>
                <w:sz w:val="22"/>
                <w:szCs w:val="22"/>
              </w:rPr>
            </w:pPr>
          </w:p>
          <w:p w:rsidR="00306C67" w:rsidRPr="00E85451" w:rsidRDefault="00306C67" w:rsidP="00F85FBF">
            <w:pPr>
              <w:ind w:right="-8"/>
              <w:rPr>
                <w:rFonts w:ascii="Arial" w:eastAsia="Arial" w:hAnsi="Arial" w:cs="Arial"/>
                <w:color w:val="auto"/>
                <w:sz w:val="22"/>
                <w:szCs w:val="22"/>
              </w:rPr>
            </w:pPr>
          </w:p>
          <w:p w:rsidR="00306C67" w:rsidRPr="00E85451" w:rsidRDefault="00306C67" w:rsidP="00F85FBF">
            <w:pPr>
              <w:ind w:right="-8"/>
              <w:rPr>
                <w:rFonts w:ascii="Arial" w:eastAsia="Arial" w:hAnsi="Arial" w:cs="Arial"/>
                <w:color w:val="auto"/>
                <w:sz w:val="22"/>
                <w:szCs w:val="22"/>
              </w:rPr>
            </w:pPr>
          </w:p>
          <w:p w:rsidR="00306C67" w:rsidRPr="00E85451" w:rsidRDefault="00306C67" w:rsidP="00F85FBF">
            <w:pPr>
              <w:ind w:right="-8"/>
              <w:rPr>
                <w:rFonts w:ascii="Arial" w:eastAsia="Arial" w:hAnsi="Arial" w:cs="Arial"/>
                <w:color w:val="auto"/>
                <w:sz w:val="22"/>
                <w:szCs w:val="22"/>
              </w:rPr>
            </w:pPr>
          </w:p>
          <w:p w:rsidR="00306C67" w:rsidRPr="00E85451" w:rsidRDefault="00306C67" w:rsidP="00F85FBF">
            <w:pPr>
              <w:ind w:right="-8"/>
              <w:rPr>
                <w:rFonts w:ascii="Arial" w:eastAsia="Arial" w:hAnsi="Arial" w:cs="Arial"/>
                <w:color w:val="auto"/>
                <w:sz w:val="22"/>
                <w:szCs w:val="22"/>
              </w:rPr>
            </w:pPr>
          </w:p>
          <w:p w:rsidR="00306C67" w:rsidRPr="00E85451" w:rsidRDefault="00306C67" w:rsidP="00F85FBF">
            <w:pPr>
              <w:ind w:right="-8"/>
              <w:rPr>
                <w:rFonts w:ascii="Arial" w:hAnsi="Arial" w:cs="Arial"/>
                <w:color w:val="auto"/>
                <w:sz w:val="22"/>
                <w:szCs w:val="22"/>
              </w:rPr>
            </w:pPr>
          </w:p>
        </w:tc>
        <w:tc>
          <w:tcPr>
            <w:tcW w:w="7950" w:type="dxa"/>
            <w:tcMar>
              <w:top w:w="88" w:type="dxa"/>
              <w:left w:w="88" w:type="dxa"/>
              <w:bottom w:w="88" w:type="dxa"/>
              <w:right w:w="88" w:type="dxa"/>
            </w:tcMar>
          </w:tcPr>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b/>
                <w:color w:val="auto"/>
                <w:sz w:val="22"/>
                <w:szCs w:val="22"/>
              </w:rPr>
              <w:lastRenderedPageBreak/>
              <w:t>Dolazni natječaj</w:t>
            </w:r>
            <w:r w:rsidRPr="00E85451">
              <w:rPr>
                <w:rFonts w:ascii="Arial" w:eastAsia="Arial" w:hAnsi="Arial" w:cs="Arial"/>
                <w:color w:val="auto"/>
                <w:sz w:val="22"/>
                <w:szCs w:val="22"/>
              </w:rPr>
              <w:t xml:space="preserve"> za dodjelu stipendija za strane studente i istraživače na hrvatskim visokim učilištima i znanstvenoistraživačkim ustanovama: 15.4.2014.</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b/>
                <w:color w:val="auto"/>
                <w:sz w:val="22"/>
                <w:szCs w:val="22"/>
              </w:rPr>
              <w:t>Odlazni natječaji</w:t>
            </w:r>
            <w:r w:rsidRPr="00E85451">
              <w:rPr>
                <w:rFonts w:ascii="Arial" w:eastAsia="Arial" w:hAnsi="Arial" w:cs="Arial"/>
                <w:color w:val="auto"/>
                <w:sz w:val="22"/>
                <w:szCs w:val="22"/>
              </w:rPr>
              <w:t>:</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Natječaj za stipendije programa Fulbright-Schuman za stipendiranje državljana Europske unije: 1. siječnja 2014.</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color w:val="auto"/>
                <w:sz w:val="22"/>
                <w:szCs w:val="22"/>
              </w:rPr>
              <w:lastRenderedPageBreak/>
              <w:t>• Natječaj za stipendije zaklade British Scholarship Trust za znanstveno istraživanje na britanskim sveučilištima: 1. ožujka 2014.</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Natječaj za dodjelu stipendija Vlade Mađarske: 17. ožujka 2014.</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Natječaj za dodjelu 8 stipendija Vlade Narodne Republike Kine za akademsku godinu 2014./2015.: 31. ožujka 2014.</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Natječaj za stipendije Slobodne Države Bavarske za ljetne tečajeve njemačkog jezika u Bavarskoj 2014. godine: 1.</w:t>
            </w:r>
            <w:r w:rsidR="002B7707" w:rsidRPr="00E85451">
              <w:rPr>
                <w:rFonts w:ascii="Arial" w:eastAsia="Arial" w:hAnsi="Arial" w:cs="Arial"/>
                <w:color w:val="auto"/>
                <w:sz w:val="22"/>
                <w:szCs w:val="22"/>
              </w:rPr>
              <w:t xml:space="preserve"> </w:t>
            </w:r>
            <w:r w:rsidRPr="00E85451">
              <w:rPr>
                <w:rFonts w:ascii="Arial" w:eastAsia="Arial" w:hAnsi="Arial" w:cs="Arial"/>
                <w:color w:val="auto"/>
                <w:sz w:val="22"/>
                <w:szCs w:val="22"/>
              </w:rPr>
              <w:t>travnja 2014.</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Natječaj za dodjelu stipendija Vlade Francuske Republike: 15. travnja 2014.</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Natječaj za stipendije Vlade Helenske Republike u okviru bilateralne suradnje s RH za akademsku godinu 2014./2015.: 15. travnja 2014.</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Natječaj za stipendije Vlade Crne Gore: 15. travnja 2014.</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Natječaj za stipendije za hrvatske studente i specijalizante za sudjelovanje na ljetnim seminarima bugarskog jezika, književnosti i kulture: 1. svibnja 2014.</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Natječaj za stipendije MZOS-a, AMPEU-a i Vlade SAD-a: program Fulbright za akademsku godinu 2015./2016.: 1</w:t>
            </w:r>
            <w:r w:rsidR="002B7707" w:rsidRPr="00E85451">
              <w:rPr>
                <w:rFonts w:ascii="Arial" w:eastAsia="Arial" w:hAnsi="Arial" w:cs="Arial"/>
                <w:color w:val="auto"/>
                <w:sz w:val="22"/>
                <w:szCs w:val="22"/>
              </w:rPr>
              <w:t>.</w:t>
            </w:r>
            <w:r w:rsidRPr="00E85451">
              <w:rPr>
                <w:rFonts w:ascii="Arial" w:eastAsia="Arial" w:hAnsi="Arial" w:cs="Arial"/>
                <w:color w:val="auto"/>
                <w:sz w:val="22"/>
                <w:szCs w:val="22"/>
              </w:rPr>
              <w:t xml:space="preserve"> svibnja 2014.</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Natječaj za stipendije Vlade Republike Latvije za akad. god. 2014./2015.: 1. svibnja 2014.</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Natječaj za stipendije programa Hubert H. Humphrey za akademsku godinu 2015./2016.: 10. svibnja 2014.</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Natječaj za stipendije za istraživanje u okviru izrade doktorskoga rada na Wirth Institutu za austrijske i srednjoeuropske studije Sveučilišta Alberta u Edmontonu, Kanada: 16. svibnja 2014.</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Natječaj za preddiplomski studij na Moskovskom državnom institutu međunarodnih odnosa (MGIMO), Moskva, Ruska Federacija: 13. lipnja 2014.</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Natječaj za stipendije programa Endeavour za studijske i istraživačke boravke u Australiji u 2015. godini: 30. lipnja 2014.</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Natječaj za upis na Diplomatsku akademiju Ruske Federacije: 30. lipnja 2014.</w:t>
            </w:r>
          </w:p>
          <w:p w:rsidR="00FD5E9B" w:rsidRPr="00E85451" w:rsidRDefault="00FD5E9B" w:rsidP="00FD5E9B">
            <w:pPr>
              <w:ind w:left="720"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Natječaj za stipendije Švicarske Konfederacije u akademskoj godini 2015./2016: 15. studenoga 2014.</w:t>
            </w:r>
          </w:p>
          <w:p w:rsidR="00FD5E9B" w:rsidRPr="00E85451" w:rsidRDefault="00FD5E9B" w:rsidP="00FD5E9B">
            <w:pPr>
              <w:ind w:left="559" w:right="-8" w:firstLine="284"/>
              <w:jc w:val="both"/>
              <w:rPr>
                <w:rFonts w:ascii="Arial" w:eastAsia="Arial" w:hAnsi="Arial" w:cs="Arial"/>
                <w:color w:val="auto"/>
                <w:sz w:val="22"/>
                <w:szCs w:val="22"/>
              </w:rPr>
            </w:pPr>
            <w:r w:rsidRPr="00E85451">
              <w:rPr>
                <w:rFonts w:ascii="Arial" w:eastAsia="Arial" w:hAnsi="Arial" w:cs="Arial"/>
                <w:color w:val="auto"/>
                <w:sz w:val="22"/>
                <w:szCs w:val="22"/>
              </w:rPr>
              <w:t>• Natječaj za bavarske godišnje stipendije za poslijediplomske studije u akademskoj godini 2015.-2016.: 1. prosinca 2014.</w:t>
            </w:r>
          </w:p>
          <w:p w:rsidR="005E3AD9" w:rsidRPr="00E85451" w:rsidRDefault="005E3AD9" w:rsidP="007E4E76">
            <w:pPr>
              <w:ind w:right="-8"/>
              <w:contextualSpacing/>
              <w:jc w:val="both"/>
              <w:rPr>
                <w:rFonts w:ascii="Arial" w:eastAsia="Arial" w:hAnsi="Arial" w:cs="Arial"/>
                <w:b/>
                <w:color w:val="auto"/>
                <w:sz w:val="22"/>
                <w:szCs w:val="22"/>
              </w:rPr>
            </w:pPr>
          </w:p>
        </w:tc>
      </w:tr>
      <w:tr w:rsidR="00E85451" w:rsidRPr="00E85451">
        <w:tc>
          <w:tcPr>
            <w:tcW w:w="1620" w:type="dxa"/>
            <w:tcMar>
              <w:top w:w="88" w:type="dxa"/>
              <w:left w:w="88" w:type="dxa"/>
              <w:bottom w:w="88" w:type="dxa"/>
              <w:right w:w="88" w:type="dxa"/>
            </w:tcMar>
          </w:tcPr>
          <w:p w:rsidR="000F3799" w:rsidRPr="00E85451" w:rsidRDefault="00923EE2">
            <w:pPr>
              <w:ind w:right="-8"/>
              <w:jc w:val="both"/>
              <w:rPr>
                <w:rFonts w:ascii="Arial" w:hAnsi="Arial" w:cs="Arial"/>
                <w:color w:val="auto"/>
                <w:sz w:val="22"/>
                <w:szCs w:val="22"/>
              </w:rPr>
            </w:pPr>
            <w:r w:rsidRPr="00E85451">
              <w:rPr>
                <w:rFonts w:ascii="Arial" w:eastAsia="Arial" w:hAnsi="Arial" w:cs="Arial"/>
                <w:color w:val="auto"/>
                <w:sz w:val="22"/>
                <w:szCs w:val="22"/>
              </w:rPr>
              <w:lastRenderedPageBreak/>
              <w:t>Broj zaprimljenih prijava</w:t>
            </w:r>
          </w:p>
        </w:tc>
        <w:tc>
          <w:tcPr>
            <w:tcW w:w="7950" w:type="dxa"/>
            <w:tcMar>
              <w:top w:w="88" w:type="dxa"/>
              <w:left w:w="88" w:type="dxa"/>
              <w:bottom w:w="88" w:type="dxa"/>
              <w:right w:w="88" w:type="dxa"/>
            </w:tcMar>
          </w:tcPr>
          <w:p w:rsidR="000F3799" w:rsidRPr="00E85451" w:rsidRDefault="00FD5E9B">
            <w:pPr>
              <w:ind w:right="-8"/>
              <w:jc w:val="both"/>
              <w:rPr>
                <w:rFonts w:ascii="Arial" w:hAnsi="Arial" w:cs="Arial"/>
                <w:color w:val="auto"/>
                <w:sz w:val="22"/>
                <w:szCs w:val="22"/>
                <w:highlight w:val="yellow"/>
              </w:rPr>
            </w:pPr>
            <w:r w:rsidRPr="00E85451">
              <w:rPr>
                <w:rFonts w:ascii="Arial" w:eastAsia="Arial" w:hAnsi="Arial" w:cs="Arial"/>
                <w:color w:val="auto"/>
                <w:sz w:val="22"/>
                <w:szCs w:val="22"/>
              </w:rPr>
              <w:t>280</w:t>
            </w:r>
          </w:p>
        </w:tc>
      </w:tr>
      <w:tr w:rsidR="00E85451" w:rsidRPr="00E85451">
        <w:tc>
          <w:tcPr>
            <w:tcW w:w="1620" w:type="dxa"/>
            <w:tcMar>
              <w:top w:w="88" w:type="dxa"/>
              <w:left w:w="88" w:type="dxa"/>
              <w:bottom w:w="88" w:type="dxa"/>
              <w:right w:w="88" w:type="dxa"/>
            </w:tcMar>
          </w:tcPr>
          <w:p w:rsidR="000F3799" w:rsidRPr="00E85451" w:rsidRDefault="00923EE2">
            <w:pPr>
              <w:ind w:right="-8"/>
              <w:jc w:val="both"/>
              <w:rPr>
                <w:rFonts w:ascii="Arial" w:hAnsi="Arial" w:cs="Arial"/>
                <w:color w:val="auto"/>
                <w:sz w:val="22"/>
                <w:szCs w:val="22"/>
              </w:rPr>
            </w:pPr>
            <w:r w:rsidRPr="00E85451">
              <w:rPr>
                <w:rFonts w:ascii="Arial" w:eastAsia="Arial" w:hAnsi="Arial" w:cs="Arial"/>
                <w:color w:val="auto"/>
                <w:sz w:val="22"/>
                <w:szCs w:val="22"/>
              </w:rPr>
              <w:t xml:space="preserve">Broj odobrenih stipendija </w:t>
            </w:r>
          </w:p>
        </w:tc>
        <w:tc>
          <w:tcPr>
            <w:tcW w:w="7950" w:type="dxa"/>
            <w:tcMar>
              <w:top w:w="88" w:type="dxa"/>
              <w:left w:w="88" w:type="dxa"/>
              <w:bottom w:w="88" w:type="dxa"/>
              <w:right w:w="88" w:type="dxa"/>
            </w:tcMar>
          </w:tcPr>
          <w:p w:rsidR="00FD5E9B" w:rsidRPr="00E85451" w:rsidRDefault="00FD5E9B" w:rsidP="00FD5E9B">
            <w:pPr>
              <w:ind w:right="-8"/>
              <w:jc w:val="both"/>
              <w:rPr>
                <w:rFonts w:ascii="Arial" w:hAnsi="Arial" w:cs="Arial"/>
                <w:color w:val="auto"/>
                <w:sz w:val="22"/>
                <w:szCs w:val="22"/>
                <w:highlight w:val="yellow"/>
              </w:rPr>
            </w:pPr>
            <w:r w:rsidRPr="00E85451">
              <w:rPr>
                <w:rFonts w:ascii="Arial" w:hAnsi="Arial" w:cs="Arial"/>
                <w:color w:val="auto"/>
                <w:sz w:val="22"/>
                <w:szCs w:val="22"/>
              </w:rPr>
              <w:t>165</w:t>
            </w:r>
          </w:p>
          <w:p w:rsidR="00FD5E9B" w:rsidRPr="00E85451" w:rsidRDefault="00FD5E9B" w:rsidP="00FD5E9B">
            <w:pPr>
              <w:ind w:right="-8"/>
              <w:jc w:val="both"/>
              <w:rPr>
                <w:rFonts w:ascii="Arial" w:hAnsi="Arial" w:cs="Arial"/>
                <w:color w:val="auto"/>
                <w:sz w:val="22"/>
                <w:szCs w:val="22"/>
              </w:rPr>
            </w:pPr>
            <w:r w:rsidRPr="00E85451">
              <w:rPr>
                <w:rFonts w:ascii="Arial" w:eastAsia="Calibri" w:hAnsi="Arial" w:cs="Arial"/>
                <w:color w:val="auto"/>
                <w:sz w:val="22"/>
                <w:szCs w:val="22"/>
              </w:rPr>
              <w:t xml:space="preserve">80 </w:t>
            </w:r>
            <w:r w:rsidRPr="00E85451">
              <w:rPr>
                <w:rFonts w:ascii="Arial" w:eastAsia="Arial" w:hAnsi="Arial" w:cs="Arial"/>
                <w:color w:val="auto"/>
                <w:sz w:val="22"/>
                <w:szCs w:val="22"/>
              </w:rPr>
              <w:t>(dolazni natječaj)</w:t>
            </w:r>
          </w:p>
          <w:p w:rsidR="00FD5E9B" w:rsidRPr="00E85451" w:rsidRDefault="00FD5E9B" w:rsidP="00FD5E9B">
            <w:pPr>
              <w:ind w:right="-8"/>
              <w:jc w:val="both"/>
              <w:rPr>
                <w:rFonts w:ascii="Arial" w:eastAsia="Arial" w:hAnsi="Arial" w:cs="Arial"/>
                <w:color w:val="auto"/>
                <w:sz w:val="22"/>
                <w:szCs w:val="22"/>
              </w:rPr>
            </w:pPr>
            <w:r w:rsidRPr="00E85451">
              <w:rPr>
                <w:rFonts w:ascii="Arial" w:eastAsia="Arial" w:hAnsi="Arial" w:cs="Arial"/>
                <w:color w:val="auto"/>
                <w:sz w:val="22"/>
                <w:szCs w:val="22"/>
              </w:rPr>
              <w:t>85 (odlazni natječaj)</w:t>
            </w:r>
          </w:p>
          <w:p w:rsidR="000F3799" w:rsidRPr="00E85451" w:rsidRDefault="000F3799">
            <w:pPr>
              <w:ind w:right="-8"/>
              <w:jc w:val="both"/>
              <w:rPr>
                <w:rFonts w:ascii="Arial" w:hAnsi="Arial" w:cs="Arial"/>
                <w:color w:val="auto"/>
                <w:sz w:val="22"/>
                <w:szCs w:val="22"/>
                <w:highlight w:val="yellow"/>
              </w:rPr>
            </w:pPr>
          </w:p>
        </w:tc>
      </w:tr>
      <w:tr w:rsidR="00E85451" w:rsidRPr="00E85451">
        <w:tc>
          <w:tcPr>
            <w:tcW w:w="1620" w:type="dxa"/>
            <w:tcMar>
              <w:top w:w="88" w:type="dxa"/>
              <w:left w:w="88" w:type="dxa"/>
              <w:bottom w:w="88" w:type="dxa"/>
              <w:right w:w="88" w:type="dxa"/>
            </w:tcMar>
          </w:tcPr>
          <w:p w:rsidR="000F3799" w:rsidRPr="00E85451" w:rsidRDefault="00923EE2" w:rsidP="00F85FBF">
            <w:pPr>
              <w:ind w:right="-8"/>
              <w:rPr>
                <w:rFonts w:ascii="Arial" w:hAnsi="Arial" w:cs="Arial"/>
                <w:color w:val="auto"/>
                <w:sz w:val="22"/>
                <w:szCs w:val="22"/>
              </w:rPr>
            </w:pPr>
            <w:r w:rsidRPr="00E85451">
              <w:rPr>
                <w:rFonts w:ascii="Arial" w:eastAsia="Arial" w:hAnsi="Arial" w:cs="Arial"/>
                <w:color w:val="auto"/>
                <w:sz w:val="22"/>
                <w:szCs w:val="22"/>
              </w:rPr>
              <w:t>Ukupan broj pojedinačnih korisnika</w:t>
            </w:r>
          </w:p>
        </w:tc>
        <w:tc>
          <w:tcPr>
            <w:tcW w:w="7950" w:type="dxa"/>
            <w:tcMar>
              <w:top w:w="88" w:type="dxa"/>
              <w:left w:w="88" w:type="dxa"/>
              <w:bottom w:w="88" w:type="dxa"/>
              <w:right w:w="88" w:type="dxa"/>
            </w:tcMar>
          </w:tcPr>
          <w:p w:rsidR="000F3799" w:rsidRPr="00E85451" w:rsidRDefault="00FD5E9B">
            <w:pPr>
              <w:ind w:right="-8"/>
              <w:jc w:val="both"/>
              <w:rPr>
                <w:rFonts w:ascii="Arial" w:hAnsi="Arial" w:cs="Arial"/>
                <w:color w:val="auto"/>
                <w:sz w:val="22"/>
                <w:szCs w:val="22"/>
                <w:highlight w:val="yellow"/>
              </w:rPr>
            </w:pPr>
            <w:r w:rsidRPr="00E85451">
              <w:rPr>
                <w:rFonts w:ascii="Arial" w:eastAsia="Arial" w:hAnsi="Arial" w:cs="Arial"/>
                <w:color w:val="auto"/>
                <w:sz w:val="22"/>
                <w:szCs w:val="22"/>
              </w:rPr>
              <w:t>165</w:t>
            </w:r>
          </w:p>
        </w:tc>
      </w:tr>
      <w:tr w:rsidR="00E85451" w:rsidRPr="00E85451">
        <w:tc>
          <w:tcPr>
            <w:tcW w:w="1620" w:type="dxa"/>
            <w:tcMar>
              <w:top w:w="88" w:type="dxa"/>
              <w:left w:w="88" w:type="dxa"/>
              <w:bottom w:w="88" w:type="dxa"/>
              <w:right w:w="88" w:type="dxa"/>
            </w:tcMar>
          </w:tcPr>
          <w:p w:rsidR="000F3799" w:rsidRPr="00E85451" w:rsidRDefault="00923EE2" w:rsidP="00F85FBF">
            <w:pPr>
              <w:ind w:right="-8"/>
              <w:rPr>
                <w:rFonts w:ascii="Arial" w:hAnsi="Arial" w:cs="Arial"/>
                <w:color w:val="auto"/>
                <w:sz w:val="22"/>
                <w:szCs w:val="22"/>
              </w:rPr>
            </w:pPr>
            <w:r w:rsidRPr="00E85451">
              <w:rPr>
                <w:rFonts w:ascii="Arial" w:eastAsia="Arial" w:hAnsi="Arial" w:cs="Arial"/>
                <w:color w:val="auto"/>
                <w:sz w:val="22"/>
                <w:szCs w:val="22"/>
              </w:rPr>
              <w:t xml:space="preserve">Promotivne, informativne i potporne   aktivnosti </w:t>
            </w:r>
          </w:p>
        </w:tc>
        <w:tc>
          <w:tcPr>
            <w:tcW w:w="7950" w:type="dxa"/>
            <w:tcMar>
              <w:top w:w="88" w:type="dxa"/>
              <w:left w:w="88" w:type="dxa"/>
              <w:bottom w:w="88" w:type="dxa"/>
              <w:right w:w="88" w:type="dxa"/>
            </w:tcMar>
          </w:tcPr>
          <w:p w:rsidR="000F3799" w:rsidRPr="00E85451" w:rsidRDefault="00FD5E9B">
            <w:pPr>
              <w:ind w:right="-8"/>
              <w:jc w:val="both"/>
              <w:rPr>
                <w:rFonts w:ascii="Arial" w:hAnsi="Arial" w:cs="Arial"/>
                <w:color w:val="auto"/>
                <w:sz w:val="22"/>
                <w:szCs w:val="22"/>
                <w:highlight w:val="yellow"/>
              </w:rPr>
            </w:pPr>
            <w:r w:rsidRPr="00E85451">
              <w:rPr>
                <w:rFonts w:ascii="Arial" w:eastAsia="Arial" w:hAnsi="Arial" w:cs="Arial"/>
                <w:color w:val="auto"/>
                <w:sz w:val="22"/>
                <w:szCs w:val="22"/>
              </w:rPr>
              <w:t xml:space="preserve">Tijekom godine održane su dvije prezentacije korisnicima programa te jedna prezentacija inozemnim partnerima - delegaciji Ministarstva prosvjete Crne Gore. Program je također predstavljen na Danu inženjera, Euraxess Roadshow-u, Forumu struke, Danu karijera na Rudarsko-naftno-geološkom fakultetu Sveučilišta u Zagrebu te na Sajmu stipendija u Zagrebu i Rijeci. U </w:t>
            </w:r>
            <w:r w:rsidRPr="00E85451">
              <w:rPr>
                <w:rFonts w:ascii="Arial" w:eastAsia="Arial" w:hAnsi="Arial" w:cs="Arial"/>
                <w:color w:val="auto"/>
                <w:sz w:val="22"/>
                <w:szCs w:val="22"/>
              </w:rPr>
              <w:lastRenderedPageBreak/>
              <w:t xml:space="preserve">suradnji s kolegama iz Instituta za obrazovanje, ažurirane su informacije o Bilateralnom programu akademske mobilnosti na portalu Study in Croatia. </w:t>
            </w:r>
          </w:p>
        </w:tc>
      </w:tr>
    </w:tbl>
    <w:p w:rsidR="000F3799" w:rsidRPr="00E85451" w:rsidRDefault="000F3799">
      <w:pPr>
        <w:rPr>
          <w:rFonts w:ascii="Arial" w:hAnsi="Arial" w:cs="Arial"/>
          <w:color w:val="auto"/>
          <w:sz w:val="22"/>
          <w:szCs w:val="22"/>
        </w:rPr>
      </w:pPr>
    </w:p>
    <w:p w:rsidR="005E3AD9" w:rsidRPr="000F3158" w:rsidRDefault="00FF4A04" w:rsidP="00601741">
      <w:pPr>
        <w:pStyle w:val="Heading2"/>
        <w:rPr>
          <w:rFonts w:ascii="Arial" w:hAnsi="Arial" w:cs="Arial"/>
          <w:color w:val="auto"/>
          <w:sz w:val="24"/>
          <w:szCs w:val="24"/>
        </w:rPr>
      </w:pPr>
      <w:bookmarkStart w:id="18" w:name="h.17dp8vu" w:colFirst="0" w:colLast="0"/>
      <w:bookmarkStart w:id="19" w:name="_Toc419192157"/>
      <w:bookmarkEnd w:id="18"/>
      <w:r w:rsidRPr="000F3158">
        <w:rPr>
          <w:rFonts w:ascii="Arial" w:hAnsi="Arial" w:cs="Arial"/>
          <w:color w:val="auto"/>
          <w:sz w:val="24"/>
          <w:szCs w:val="24"/>
        </w:rPr>
        <w:t>2.6</w:t>
      </w:r>
      <w:r w:rsidR="00923EE2" w:rsidRPr="000F3158">
        <w:rPr>
          <w:rFonts w:ascii="Arial" w:hAnsi="Arial" w:cs="Arial"/>
          <w:color w:val="auto"/>
          <w:sz w:val="24"/>
          <w:szCs w:val="24"/>
        </w:rPr>
        <w:t xml:space="preserve">. </w:t>
      </w:r>
      <w:r w:rsidRPr="000F3158">
        <w:rPr>
          <w:rFonts w:ascii="Arial" w:hAnsi="Arial" w:cs="Arial"/>
          <w:color w:val="auto"/>
          <w:sz w:val="24"/>
          <w:szCs w:val="24"/>
        </w:rPr>
        <w:t xml:space="preserve">Mreže i inicijative </w:t>
      </w:r>
      <w:r w:rsidR="00D0103D" w:rsidRPr="000F3158">
        <w:rPr>
          <w:rFonts w:ascii="Arial" w:hAnsi="Arial" w:cs="Arial"/>
          <w:color w:val="auto"/>
          <w:sz w:val="24"/>
          <w:szCs w:val="24"/>
        </w:rPr>
        <w:t>–</w:t>
      </w:r>
      <w:r w:rsidRPr="000F3158">
        <w:rPr>
          <w:rFonts w:ascii="Arial" w:hAnsi="Arial" w:cs="Arial"/>
          <w:color w:val="auto"/>
          <w:sz w:val="24"/>
          <w:szCs w:val="24"/>
        </w:rPr>
        <w:t xml:space="preserve"> </w:t>
      </w:r>
      <w:r w:rsidR="00923EE2" w:rsidRPr="000F3158">
        <w:rPr>
          <w:rFonts w:ascii="Arial" w:hAnsi="Arial" w:cs="Arial"/>
          <w:color w:val="auto"/>
          <w:sz w:val="24"/>
          <w:szCs w:val="24"/>
        </w:rPr>
        <w:t>E</w:t>
      </w:r>
      <w:r w:rsidR="000E69BF" w:rsidRPr="000F3158">
        <w:rPr>
          <w:rFonts w:ascii="Arial" w:hAnsi="Arial" w:cs="Arial"/>
          <w:color w:val="auto"/>
          <w:sz w:val="24"/>
          <w:szCs w:val="24"/>
        </w:rPr>
        <w:t>uropass</w:t>
      </w:r>
      <w:r w:rsidR="00D0103D" w:rsidRPr="000F3158">
        <w:rPr>
          <w:rFonts w:ascii="Arial" w:hAnsi="Arial" w:cs="Arial"/>
          <w:color w:val="auto"/>
          <w:sz w:val="24"/>
          <w:szCs w:val="24"/>
        </w:rPr>
        <w:t xml:space="preserve"> </w:t>
      </w:r>
      <w:r w:rsidR="000E69BF" w:rsidRPr="000F3158">
        <w:rPr>
          <w:rFonts w:ascii="Arial" w:hAnsi="Arial" w:cs="Arial"/>
          <w:color w:val="auto"/>
          <w:sz w:val="24"/>
          <w:szCs w:val="24"/>
        </w:rPr>
        <w:t>/</w:t>
      </w:r>
      <w:r w:rsidR="00D0103D" w:rsidRPr="000F3158">
        <w:rPr>
          <w:rFonts w:ascii="Arial" w:hAnsi="Arial" w:cs="Arial"/>
          <w:color w:val="auto"/>
          <w:sz w:val="24"/>
          <w:szCs w:val="24"/>
        </w:rPr>
        <w:t xml:space="preserve"> </w:t>
      </w:r>
      <w:r w:rsidR="000E69BF" w:rsidRPr="000F3158">
        <w:rPr>
          <w:rFonts w:ascii="Arial" w:hAnsi="Arial" w:cs="Arial"/>
          <w:color w:val="auto"/>
          <w:sz w:val="24"/>
          <w:szCs w:val="24"/>
        </w:rPr>
        <w:t>Euroguidance</w:t>
      </w:r>
      <w:r w:rsidR="00D0103D" w:rsidRPr="000F3158">
        <w:rPr>
          <w:rFonts w:ascii="Arial" w:hAnsi="Arial" w:cs="Arial"/>
          <w:color w:val="auto"/>
          <w:sz w:val="24"/>
          <w:szCs w:val="24"/>
        </w:rPr>
        <w:t xml:space="preserve"> </w:t>
      </w:r>
      <w:r w:rsidRPr="000F3158">
        <w:rPr>
          <w:rFonts w:ascii="Arial" w:hAnsi="Arial" w:cs="Arial"/>
          <w:color w:val="auto"/>
          <w:sz w:val="24"/>
          <w:szCs w:val="24"/>
        </w:rPr>
        <w:t>/</w:t>
      </w:r>
      <w:r w:rsidR="00D0103D" w:rsidRPr="000F3158">
        <w:rPr>
          <w:rFonts w:ascii="Arial" w:hAnsi="Arial" w:cs="Arial"/>
          <w:color w:val="auto"/>
          <w:sz w:val="24"/>
          <w:szCs w:val="24"/>
        </w:rPr>
        <w:t xml:space="preserve"> </w:t>
      </w:r>
      <w:r w:rsidRPr="000F3158">
        <w:rPr>
          <w:rFonts w:ascii="Arial" w:hAnsi="Arial" w:cs="Arial"/>
          <w:color w:val="auto"/>
          <w:sz w:val="24"/>
          <w:szCs w:val="24"/>
        </w:rPr>
        <w:t>eTwinning</w:t>
      </w:r>
      <w:bookmarkEnd w:id="19"/>
    </w:p>
    <w:p w:rsidR="000F3799" w:rsidRPr="00E85451" w:rsidRDefault="000F3799">
      <w:pPr>
        <w:ind w:right="-8"/>
        <w:jc w:val="both"/>
        <w:rPr>
          <w:rFonts w:ascii="Arial" w:hAnsi="Arial" w:cs="Arial"/>
          <w:color w:val="auto"/>
          <w:sz w:val="22"/>
          <w:szCs w:val="22"/>
        </w:rPr>
      </w:pPr>
    </w:p>
    <w:tbl>
      <w:tblPr>
        <w:tblW w:w="9577" w:type="dxa"/>
        <w:tblInd w:w="-478" w:type="dxa"/>
        <w:tblLayout w:type="fixed"/>
        <w:tblLook w:val="0600" w:firstRow="0" w:lastRow="0" w:firstColumn="0" w:lastColumn="0" w:noHBand="1" w:noVBand="1"/>
      </w:tblPr>
      <w:tblGrid>
        <w:gridCol w:w="1560"/>
        <w:gridCol w:w="8017"/>
      </w:tblGrid>
      <w:tr w:rsidR="00E85451" w:rsidRPr="00E85451">
        <w:tc>
          <w:tcPr>
            <w:tcW w:w="1560" w:type="dxa"/>
            <w:tcMar>
              <w:top w:w="88" w:type="dxa"/>
              <w:left w:w="88" w:type="dxa"/>
              <w:bottom w:w="88" w:type="dxa"/>
              <w:right w:w="88" w:type="dxa"/>
            </w:tcMar>
          </w:tcPr>
          <w:p w:rsidR="000F3799" w:rsidRPr="00E85451" w:rsidRDefault="00923EE2" w:rsidP="00F85FBF">
            <w:pPr>
              <w:ind w:right="-8"/>
              <w:rPr>
                <w:rFonts w:ascii="Arial" w:hAnsi="Arial" w:cs="Arial"/>
                <w:color w:val="auto"/>
                <w:sz w:val="22"/>
                <w:szCs w:val="22"/>
              </w:rPr>
            </w:pPr>
            <w:r w:rsidRPr="00E85451">
              <w:rPr>
                <w:rFonts w:ascii="Arial" w:eastAsia="Arial" w:hAnsi="Arial" w:cs="Arial"/>
                <w:color w:val="auto"/>
                <w:sz w:val="22"/>
                <w:szCs w:val="22"/>
              </w:rPr>
              <w:t>Ukratko o programu i ciljevima:</w:t>
            </w:r>
          </w:p>
        </w:tc>
        <w:tc>
          <w:tcPr>
            <w:tcW w:w="8017" w:type="dxa"/>
            <w:tcMar>
              <w:top w:w="88" w:type="dxa"/>
              <w:left w:w="88" w:type="dxa"/>
              <w:bottom w:w="88" w:type="dxa"/>
              <w:right w:w="88" w:type="dxa"/>
            </w:tcMar>
          </w:tcPr>
          <w:p w:rsidR="00675DBA" w:rsidRPr="00E85451" w:rsidRDefault="008C2AC4" w:rsidP="00675DBA">
            <w:pPr>
              <w:ind w:right="-8"/>
              <w:jc w:val="both"/>
              <w:rPr>
                <w:rFonts w:ascii="Arial" w:hAnsi="Arial" w:cs="Arial"/>
                <w:b/>
                <w:color w:val="auto"/>
                <w:sz w:val="22"/>
                <w:szCs w:val="22"/>
              </w:rPr>
            </w:pPr>
            <w:r w:rsidRPr="00E85451">
              <w:rPr>
                <w:rFonts w:ascii="Arial" w:eastAsia="Arial" w:hAnsi="Arial" w:cs="Arial"/>
                <w:b/>
                <w:color w:val="auto"/>
                <w:sz w:val="22"/>
                <w:szCs w:val="22"/>
              </w:rPr>
              <w:t>Europass</w:t>
            </w:r>
          </w:p>
          <w:p w:rsidR="00675DBA" w:rsidRPr="00E85451" w:rsidRDefault="008C2AC4" w:rsidP="00675DBA">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Europass je portfelj dokumenata namijenjenih europskim građanima za predstavljanje stečenih vještina, kvalifikacija, kompetencija i iskustava na jasan i usporediv način koristeći se s pet dokumenata: životopisom, jezičnom putovnicom, mobilnošću, dopunskom ispravom o studiju i prilogom svjedodžbi. </w:t>
            </w:r>
          </w:p>
          <w:p w:rsidR="00675DBA" w:rsidRPr="00E85451" w:rsidRDefault="008C2AC4" w:rsidP="00675DBA">
            <w:pPr>
              <w:ind w:right="-8"/>
              <w:jc w:val="both"/>
              <w:rPr>
                <w:rFonts w:ascii="Arial" w:eastAsia="Arial" w:hAnsi="Arial" w:cs="Arial"/>
                <w:color w:val="auto"/>
                <w:sz w:val="22"/>
                <w:szCs w:val="22"/>
              </w:rPr>
            </w:pPr>
            <w:r w:rsidRPr="00E85451">
              <w:rPr>
                <w:rFonts w:ascii="Arial" w:eastAsia="Arial" w:hAnsi="Arial" w:cs="Arial"/>
                <w:color w:val="auto"/>
                <w:sz w:val="22"/>
                <w:szCs w:val="22"/>
              </w:rPr>
              <w:t>Od prosinca 2012. godine građanima je dostupna nova usluga Europska mapa vještina</w:t>
            </w:r>
            <w:r w:rsidR="00D0103D" w:rsidRPr="00E85451">
              <w:rPr>
                <w:rFonts w:ascii="Arial" w:eastAsia="Arial" w:hAnsi="Arial" w:cs="Arial"/>
                <w:color w:val="auto"/>
                <w:sz w:val="22"/>
                <w:szCs w:val="22"/>
              </w:rPr>
              <w:t xml:space="preserve"> </w:t>
            </w:r>
            <w:r w:rsidRPr="00E85451">
              <w:rPr>
                <w:rFonts w:ascii="Arial" w:eastAsia="Arial" w:hAnsi="Arial" w:cs="Arial"/>
                <w:color w:val="auto"/>
                <w:sz w:val="22"/>
                <w:szCs w:val="22"/>
              </w:rPr>
              <w:t xml:space="preserve">zahvaljujući kojoj se može izraditi vlastiti elektronički portfelj dokumenata u kojemu se prikupljaju svi Europass i ostali dokumenti. </w:t>
            </w:r>
          </w:p>
          <w:p w:rsidR="00675DBA" w:rsidRPr="00E85451" w:rsidRDefault="008C2AC4" w:rsidP="00675DBA">
            <w:pPr>
              <w:ind w:right="-8"/>
              <w:jc w:val="both"/>
              <w:rPr>
                <w:rFonts w:ascii="Arial" w:eastAsia="Arial" w:hAnsi="Arial" w:cs="Arial"/>
                <w:color w:val="auto"/>
                <w:sz w:val="22"/>
                <w:szCs w:val="22"/>
              </w:rPr>
            </w:pPr>
            <w:r w:rsidRPr="00E85451">
              <w:rPr>
                <w:rFonts w:ascii="Arial" w:eastAsia="Arial" w:hAnsi="Arial" w:cs="Arial"/>
                <w:color w:val="auto"/>
                <w:sz w:val="22"/>
                <w:szCs w:val="22"/>
              </w:rPr>
              <w:t>Ciljevi u 2014.</w:t>
            </w:r>
            <w:r w:rsidR="002B7707" w:rsidRPr="00E85451">
              <w:rPr>
                <w:rFonts w:ascii="Arial" w:eastAsia="Arial" w:hAnsi="Arial" w:cs="Arial"/>
                <w:color w:val="auto"/>
                <w:sz w:val="22"/>
                <w:szCs w:val="22"/>
              </w:rPr>
              <w:t xml:space="preserve"> g.</w:t>
            </w:r>
            <w:r w:rsidRPr="00E85451">
              <w:rPr>
                <w:rFonts w:ascii="Arial" w:eastAsia="Arial" w:hAnsi="Arial" w:cs="Arial"/>
                <w:color w:val="auto"/>
                <w:sz w:val="22"/>
                <w:szCs w:val="22"/>
              </w:rPr>
              <w:t xml:space="preserve"> postavljeni pred nacionalne Europass centre bili su sljedeći:</w:t>
            </w:r>
          </w:p>
          <w:p w:rsidR="00675DBA" w:rsidRPr="00E85451" w:rsidRDefault="008C2AC4" w:rsidP="00675DBA">
            <w:pPr>
              <w:ind w:right="-8"/>
              <w:jc w:val="both"/>
              <w:rPr>
                <w:rFonts w:ascii="Arial" w:eastAsia="Arial" w:hAnsi="Arial" w:cs="Arial"/>
                <w:color w:val="auto"/>
                <w:sz w:val="22"/>
                <w:szCs w:val="22"/>
              </w:rPr>
            </w:pPr>
            <w:r w:rsidRPr="00E85451">
              <w:rPr>
                <w:rFonts w:ascii="Arial" w:eastAsia="Arial" w:hAnsi="Arial" w:cs="Arial"/>
                <w:color w:val="auto"/>
                <w:sz w:val="22"/>
                <w:szCs w:val="22"/>
              </w:rPr>
              <w:t>- koordinacija upravljanja dokumentima,</w:t>
            </w:r>
          </w:p>
          <w:p w:rsidR="00675DBA" w:rsidRPr="00E85451" w:rsidRDefault="008C2AC4" w:rsidP="00675DBA">
            <w:pPr>
              <w:ind w:right="-8"/>
              <w:jc w:val="both"/>
              <w:rPr>
                <w:rFonts w:ascii="Arial" w:eastAsia="Arial" w:hAnsi="Arial" w:cs="Arial"/>
                <w:color w:val="auto"/>
                <w:sz w:val="22"/>
                <w:szCs w:val="22"/>
              </w:rPr>
            </w:pPr>
            <w:r w:rsidRPr="00E85451">
              <w:rPr>
                <w:rFonts w:ascii="Arial" w:eastAsia="Arial" w:hAnsi="Arial" w:cs="Arial"/>
                <w:color w:val="auto"/>
                <w:sz w:val="22"/>
                <w:szCs w:val="22"/>
              </w:rPr>
              <w:t>- intenzivna promidžba inicijative među građanima,</w:t>
            </w:r>
          </w:p>
          <w:p w:rsidR="00675DBA" w:rsidRPr="00E85451" w:rsidRDefault="008C2AC4" w:rsidP="00675DBA">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 dostupnost svih Europass dokumenata u elektroničkom i papirnatom obliku građanima, jednako kao i cjelovite i pravodobne informacije o prednostima i obilježjima Europassa putem </w:t>
            </w:r>
            <w:r w:rsidR="002B7707" w:rsidRPr="00E85451">
              <w:rPr>
                <w:rFonts w:ascii="Arial" w:eastAsia="Arial" w:hAnsi="Arial" w:cs="Arial"/>
                <w:color w:val="auto"/>
                <w:sz w:val="22"/>
                <w:szCs w:val="22"/>
              </w:rPr>
              <w:t>mrežnih</w:t>
            </w:r>
            <w:r w:rsidR="00D0103D" w:rsidRPr="00E85451">
              <w:rPr>
                <w:rFonts w:ascii="Arial" w:eastAsia="Arial" w:hAnsi="Arial" w:cs="Arial"/>
                <w:color w:val="auto"/>
                <w:sz w:val="22"/>
                <w:szCs w:val="22"/>
              </w:rPr>
              <w:t xml:space="preserve"> </w:t>
            </w:r>
            <w:r w:rsidRPr="00E85451">
              <w:rPr>
                <w:rFonts w:ascii="Arial" w:eastAsia="Arial" w:hAnsi="Arial" w:cs="Arial"/>
                <w:color w:val="auto"/>
                <w:sz w:val="22"/>
                <w:szCs w:val="22"/>
              </w:rPr>
              <w:t>stranica Nacionalnog Europass centra (NEC) Hrvatska i informativnih izdanja,</w:t>
            </w:r>
          </w:p>
          <w:p w:rsidR="00675DBA" w:rsidRPr="00E85451" w:rsidRDefault="008C2AC4" w:rsidP="00675DBA">
            <w:pPr>
              <w:ind w:right="-8"/>
              <w:jc w:val="both"/>
              <w:rPr>
                <w:rFonts w:ascii="Arial" w:eastAsia="Arial" w:hAnsi="Arial" w:cs="Arial"/>
                <w:color w:val="auto"/>
                <w:sz w:val="22"/>
                <w:szCs w:val="22"/>
              </w:rPr>
            </w:pPr>
            <w:r w:rsidRPr="00E85451">
              <w:rPr>
                <w:rFonts w:ascii="Arial" w:eastAsia="Arial" w:hAnsi="Arial" w:cs="Arial"/>
                <w:color w:val="auto"/>
                <w:sz w:val="22"/>
                <w:szCs w:val="22"/>
              </w:rPr>
              <w:t>- suradnja s ostalim europskim programima i inicijativama za poticanje i olakšanje mobilnosti i cjeloživotnog učenja,</w:t>
            </w:r>
          </w:p>
          <w:p w:rsidR="00675DBA" w:rsidRPr="00E85451" w:rsidRDefault="008C2AC4" w:rsidP="00675DBA">
            <w:pPr>
              <w:ind w:right="-8"/>
              <w:jc w:val="both"/>
              <w:rPr>
                <w:rFonts w:ascii="Arial" w:eastAsia="Arial" w:hAnsi="Arial" w:cs="Arial"/>
                <w:color w:val="auto"/>
                <w:sz w:val="22"/>
                <w:szCs w:val="22"/>
              </w:rPr>
            </w:pPr>
            <w:r w:rsidRPr="00E85451">
              <w:rPr>
                <w:rFonts w:ascii="Arial" w:eastAsia="Arial" w:hAnsi="Arial" w:cs="Arial"/>
                <w:color w:val="auto"/>
                <w:sz w:val="22"/>
                <w:szCs w:val="22"/>
              </w:rPr>
              <w:t>- bliska suradnja s europskim nacionalnim Europass centrima radi razmjene primjera dobre prakse i vršnjačkog učenja itd.,</w:t>
            </w:r>
          </w:p>
          <w:p w:rsidR="000F3799" w:rsidRPr="00E85451" w:rsidRDefault="008C2AC4">
            <w:pPr>
              <w:ind w:right="-8"/>
              <w:jc w:val="both"/>
              <w:rPr>
                <w:rFonts w:ascii="Arial" w:hAnsi="Arial" w:cs="Arial"/>
                <w:color w:val="auto"/>
                <w:sz w:val="22"/>
                <w:szCs w:val="22"/>
                <w:highlight w:val="yellow"/>
              </w:rPr>
            </w:pPr>
            <w:r w:rsidRPr="00E85451">
              <w:rPr>
                <w:rFonts w:ascii="Arial" w:eastAsia="Arial" w:hAnsi="Arial" w:cs="Arial"/>
                <w:color w:val="auto"/>
                <w:sz w:val="22"/>
                <w:szCs w:val="22"/>
              </w:rPr>
              <w:t>- sudjelovanje u aktivnostima Radne skupine za komunikaciju i promidžbu i Radne skupine za Europass mobilnost, koji djeluju na europskoj razini, a čiji je član i Nacionalni Europass centar Hrvatska.</w:t>
            </w:r>
          </w:p>
          <w:p w:rsidR="00E742C6" w:rsidRPr="00E85451" w:rsidRDefault="00E742C6">
            <w:pPr>
              <w:ind w:right="-8"/>
              <w:jc w:val="both"/>
              <w:rPr>
                <w:rFonts w:ascii="Arial" w:eastAsia="Arial" w:hAnsi="Arial" w:cs="Arial"/>
                <w:b/>
                <w:color w:val="auto"/>
                <w:sz w:val="22"/>
                <w:szCs w:val="22"/>
              </w:rPr>
            </w:pPr>
          </w:p>
          <w:p w:rsidR="000F3799" w:rsidRPr="00E85451" w:rsidRDefault="00923EE2">
            <w:pPr>
              <w:ind w:right="-8"/>
              <w:jc w:val="both"/>
              <w:rPr>
                <w:rFonts w:ascii="Arial" w:hAnsi="Arial" w:cs="Arial"/>
                <w:b/>
                <w:color w:val="auto"/>
                <w:sz w:val="22"/>
                <w:szCs w:val="22"/>
              </w:rPr>
            </w:pPr>
            <w:r w:rsidRPr="00E85451">
              <w:rPr>
                <w:rFonts w:ascii="Arial" w:eastAsia="Arial" w:hAnsi="Arial" w:cs="Arial"/>
                <w:b/>
                <w:color w:val="auto"/>
                <w:sz w:val="22"/>
                <w:szCs w:val="22"/>
              </w:rPr>
              <w:t>Euroguidance</w:t>
            </w:r>
          </w:p>
          <w:p w:rsidR="00F66FA9" w:rsidRPr="00E85451" w:rsidRDefault="00AC2AE5" w:rsidP="00F66FA9">
            <w:pPr>
              <w:ind w:right="-8"/>
              <w:jc w:val="both"/>
              <w:rPr>
                <w:rFonts w:ascii="Arial" w:eastAsia="Arial" w:hAnsi="Arial" w:cs="Arial"/>
                <w:color w:val="auto"/>
                <w:sz w:val="22"/>
                <w:szCs w:val="22"/>
                <w:highlight w:val="yellow"/>
              </w:rPr>
            </w:pPr>
            <w:r w:rsidRPr="00E85451">
              <w:rPr>
                <w:rFonts w:ascii="Arial" w:eastAsia="Arial" w:hAnsi="Arial" w:cs="Arial"/>
                <w:color w:val="auto"/>
                <w:sz w:val="22"/>
                <w:szCs w:val="22"/>
              </w:rPr>
              <w:t>Euroguidance je europska mreža nacionalnih centara za podršku profesionalnom usmjeravanju. Glavni ciljevi mreže su: promicanje europske dimenzije u profesionalnom usmjeravanju i pružanje kvalitetnih informacija o cjeloživotnom profesionalnom usmjeravanju i mobilnosti u svrhu učenja. Oba cilja usmjerena su na poticanje međunarodne mobilnosti osoba u obrazovanju i osposobljavanju i skretanje pozornosti na postojanje širokog spektra metodologija i praksi u drugim europskim zemljama.</w:t>
            </w:r>
          </w:p>
          <w:p w:rsidR="0049391E" w:rsidRPr="00E85451" w:rsidRDefault="0049391E">
            <w:pPr>
              <w:ind w:right="-8"/>
              <w:jc w:val="both"/>
              <w:rPr>
                <w:rFonts w:ascii="Arial" w:eastAsia="Arial" w:hAnsi="Arial" w:cs="Arial"/>
                <w:color w:val="auto"/>
                <w:sz w:val="22"/>
                <w:szCs w:val="22"/>
              </w:rPr>
            </w:pPr>
          </w:p>
          <w:p w:rsidR="0049391E" w:rsidRPr="00E85451" w:rsidRDefault="008C2AC4">
            <w:pPr>
              <w:ind w:right="-8"/>
              <w:jc w:val="both"/>
              <w:rPr>
                <w:rFonts w:ascii="Arial" w:eastAsia="Arial" w:hAnsi="Arial" w:cs="Arial"/>
                <w:b/>
                <w:color w:val="auto"/>
                <w:sz w:val="22"/>
                <w:szCs w:val="22"/>
              </w:rPr>
            </w:pPr>
            <w:r w:rsidRPr="00E85451">
              <w:rPr>
                <w:rFonts w:ascii="Arial" w:eastAsia="Arial" w:hAnsi="Arial" w:cs="Arial"/>
                <w:b/>
                <w:color w:val="auto"/>
                <w:sz w:val="22"/>
                <w:szCs w:val="22"/>
              </w:rPr>
              <w:t>eTwinning</w:t>
            </w:r>
          </w:p>
          <w:p w:rsidR="00CF45B4" w:rsidRPr="00E85451" w:rsidRDefault="008C2AC4">
            <w:pPr>
              <w:ind w:right="-8"/>
              <w:jc w:val="both"/>
              <w:rPr>
                <w:rFonts w:ascii="Arial" w:hAnsi="Arial" w:cs="Arial"/>
                <w:color w:val="auto"/>
                <w:sz w:val="22"/>
                <w:szCs w:val="22"/>
              </w:rPr>
            </w:pPr>
            <w:r w:rsidRPr="00E85451">
              <w:rPr>
                <w:rFonts w:ascii="Arial" w:hAnsi="Arial" w:cs="Arial"/>
                <w:color w:val="auto"/>
                <w:sz w:val="22"/>
                <w:szCs w:val="22"/>
              </w:rPr>
              <w:t>eTwinning (www.etwinning.net) je internetski portal namijenjen međunarodnoj suradnji i usavršavanju nastavnog i nenastavnog osoblja od predškolskog obrazovanja do srednje škole. Namijenjen je djelatnicima vrtića i škola, te njihovim učenicima za umrežavanje i suradnju s kolegama i vršnjacima iz europskih škola. Nacionalni ciljevi u 2014. godini bili su sljedeći: pružanje kvalitetne podrške registriranim korisnicima portala, pružanje mogućnosti za stručno usavršavanje, povećanje kvalitete eTwinning projekata, promidžba primjera dobre prakse, poticanje korisnika na pokretanje novih eTwinning projekata, širenje zajednice hrvatskih korisnika eTwinninga s posebnim osvrtom na ravnatelje, djelatnike vrtića i srednjih škola.</w:t>
            </w:r>
          </w:p>
          <w:p w:rsidR="00E73C00" w:rsidRPr="00E85451" w:rsidRDefault="00E73C00">
            <w:pPr>
              <w:ind w:right="-8"/>
              <w:jc w:val="both"/>
              <w:rPr>
                <w:rFonts w:ascii="Arial" w:hAnsi="Arial" w:cs="Arial"/>
                <w:color w:val="auto"/>
                <w:sz w:val="22"/>
                <w:szCs w:val="22"/>
                <w:highlight w:val="yellow"/>
              </w:rPr>
            </w:pPr>
          </w:p>
        </w:tc>
      </w:tr>
      <w:tr w:rsidR="00E85451" w:rsidRPr="00E85451">
        <w:tc>
          <w:tcPr>
            <w:tcW w:w="1560" w:type="dxa"/>
            <w:tcMar>
              <w:top w:w="88" w:type="dxa"/>
              <w:left w:w="88" w:type="dxa"/>
              <w:bottom w:w="88" w:type="dxa"/>
              <w:right w:w="88" w:type="dxa"/>
            </w:tcMar>
          </w:tcPr>
          <w:p w:rsidR="00045A28" w:rsidRPr="00E85451" w:rsidRDefault="00045A28" w:rsidP="00F85FBF">
            <w:pPr>
              <w:ind w:right="-8"/>
              <w:rPr>
                <w:rFonts w:ascii="Arial" w:eastAsia="Arial" w:hAnsi="Arial" w:cs="Arial"/>
                <w:color w:val="auto"/>
                <w:sz w:val="22"/>
                <w:szCs w:val="22"/>
              </w:rPr>
            </w:pPr>
            <w:r w:rsidRPr="00E85451">
              <w:rPr>
                <w:rFonts w:ascii="Arial" w:eastAsia="Arial" w:hAnsi="Arial" w:cs="Arial"/>
                <w:color w:val="auto"/>
                <w:sz w:val="22"/>
                <w:szCs w:val="22"/>
              </w:rPr>
              <w:t xml:space="preserve">Pravna </w:t>
            </w:r>
            <w:r w:rsidRPr="00E85451">
              <w:rPr>
                <w:rFonts w:ascii="Arial" w:eastAsia="Arial" w:hAnsi="Arial" w:cs="Arial"/>
                <w:color w:val="auto"/>
                <w:sz w:val="22"/>
                <w:szCs w:val="22"/>
              </w:rPr>
              <w:lastRenderedPageBreak/>
              <w:t>osnova</w:t>
            </w:r>
          </w:p>
        </w:tc>
        <w:tc>
          <w:tcPr>
            <w:tcW w:w="8017" w:type="dxa"/>
            <w:tcMar>
              <w:top w:w="88" w:type="dxa"/>
              <w:left w:w="88" w:type="dxa"/>
              <w:bottom w:w="88" w:type="dxa"/>
              <w:right w:w="88" w:type="dxa"/>
            </w:tcMar>
          </w:tcPr>
          <w:p w:rsidR="00045A28" w:rsidRPr="00E85451" w:rsidRDefault="008C2AC4">
            <w:pPr>
              <w:ind w:right="-8"/>
              <w:jc w:val="both"/>
              <w:rPr>
                <w:rFonts w:ascii="Arial" w:eastAsia="Arial" w:hAnsi="Arial" w:cs="Arial"/>
                <w:color w:val="auto"/>
                <w:sz w:val="22"/>
                <w:szCs w:val="22"/>
              </w:rPr>
            </w:pPr>
            <w:r w:rsidRPr="00E85451">
              <w:rPr>
                <w:rFonts w:ascii="Arial" w:eastAsia="Arial" w:hAnsi="Arial" w:cs="Arial"/>
                <w:color w:val="auto"/>
                <w:sz w:val="22"/>
                <w:szCs w:val="22"/>
              </w:rPr>
              <w:lastRenderedPageBreak/>
              <w:t xml:space="preserve">Pravnu osnovu za provedbu i promidžbu inicijative Europass čini Odluka br. </w:t>
            </w:r>
            <w:r w:rsidRPr="00E85451">
              <w:rPr>
                <w:rFonts w:ascii="Arial" w:eastAsia="Arial" w:hAnsi="Arial" w:cs="Arial"/>
                <w:color w:val="auto"/>
                <w:sz w:val="22"/>
                <w:szCs w:val="22"/>
              </w:rPr>
              <w:lastRenderedPageBreak/>
              <w:t>2241/2004/EC Europskoga parlamenta i Vijeća Europske unije od 15. prosinca 2004. godine o jedinstvenom okviru za transparentnost kvalifikacija i kompetencija.</w:t>
            </w:r>
          </w:p>
          <w:p w:rsidR="002B7707" w:rsidRPr="00E85451" w:rsidRDefault="002B7707">
            <w:pPr>
              <w:ind w:right="-8"/>
              <w:jc w:val="both"/>
              <w:rPr>
                <w:rFonts w:ascii="Arial" w:eastAsia="Arial" w:hAnsi="Arial" w:cs="Arial"/>
                <w:color w:val="auto"/>
                <w:sz w:val="22"/>
                <w:szCs w:val="22"/>
              </w:rPr>
            </w:pPr>
          </w:p>
          <w:p w:rsidR="005E3AD9" w:rsidRPr="00E85451" w:rsidRDefault="002B7707" w:rsidP="007E4E76">
            <w:pPr>
              <w:jc w:val="both"/>
              <w:rPr>
                <w:rFonts w:ascii="Arial" w:hAnsi="Arial" w:cs="Arial"/>
                <w:color w:val="auto"/>
                <w:sz w:val="22"/>
                <w:szCs w:val="22"/>
              </w:rPr>
            </w:pPr>
            <w:r w:rsidRPr="00E85451">
              <w:rPr>
                <w:rFonts w:ascii="Arial" w:hAnsi="Arial" w:cs="Arial"/>
                <w:color w:val="auto"/>
                <w:sz w:val="22"/>
                <w:szCs w:val="22"/>
              </w:rPr>
              <w:t>Pravnu osnovu za provedbu i promidžbu inicijative Euroguidance čini Odluka br. 1288/2013 Europskoga parlamenta i Vijeća Europske unije od 11. prosinca 2013. godine o pokretanju programa Erasmus+ za obrazovanje, osposobljavanje, mlade i sport za razdoblje 2014.-2020., točnije članak 9.1(d) kojim je definirano da Ključna aktivnost 3 – Podrška reformi politika – mora uključiti aktivnosti vezane uz Euroguidance mrežu.</w:t>
            </w:r>
          </w:p>
          <w:p w:rsidR="005E3AD9" w:rsidRPr="00E85451" w:rsidRDefault="005E3AD9" w:rsidP="007E4E76">
            <w:pPr>
              <w:jc w:val="both"/>
              <w:rPr>
                <w:rFonts w:ascii="Arial" w:hAnsi="Arial" w:cs="Arial"/>
                <w:color w:val="auto"/>
                <w:sz w:val="22"/>
                <w:szCs w:val="22"/>
              </w:rPr>
            </w:pPr>
          </w:p>
          <w:p w:rsidR="005E3AD9" w:rsidRPr="00E85451" w:rsidRDefault="00560CF3" w:rsidP="007E4E76">
            <w:pPr>
              <w:jc w:val="both"/>
              <w:rPr>
                <w:rFonts w:ascii="Arial" w:hAnsi="Arial" w:cs="Arial"/>
                <w:color w:val="auto"/>
                <w:sz w:val="22"/>
                <w:szCs w:val="22"/>
              </w:rPr>
            </w:pPr>
            <w:r w:rsidRPr="00E85451">
              <w:rPr>
                <w:rFonts w:ascii="Arial" w:hAnsi="Arial" w:cs="Arial"/>
                <w:color w:val="auto"/>
                <w:sz w:val="22"/>
                <w:szCs w:val="22"/>
              </w:rPr>
              <w:t>Pravnu osnovu za provedbu i promidžbu inicijative eTwinning čini Odluka br. 1288/2013 Europskoga parlamenta i Vijeća Europske unije od 11. prosinca 2013. godine o pokretanju programa Erasmus+ za obrazovanje, osposobljavanje, mlade i sport za razdoblje 2014.-2020., točnije članak 8.1(c) kojim je definirano da Ključna aktivnost 2 – Suradnja za inovacije i  razmjenu dobre prakse – uključuje inicijativu eTwinning.</w:t>
            </w:r>
          </w:p>
          <w:p w:rsidR="004E475A" w:rsidRPr="00E85451" w:rsidRDefault="004E475A">
            <w:pPr>
              <w:ind w:right="-8"/>
              <w:jc w:val="both"/>
              <w:rPr>
                <w:rFonts w:ascii="Arial" w:eastAsia="Arial" w:hAnsi="Arial" w:cs="Arial"/>
                <w:b/>
                <w:color w:val="auto"/>
                <w:sz w:val="22"/>
                <w:szCs w:val="22"/>
                <w:highlight w:val="yellow"/>
              </w:rPr>
            </w:pPr>
          </w:p>
        </w:tc>
      </w:tr>
      <w:tr w:rsidR="00E85451" w:rsidRPr="00E85451">
        <w:tc>
          <w:tcPr>
            <w:tcW w:w="1560" w:type="dxa"/>
            <w:tcMar>
              <w:top w:w="88" w:type="dxa"/>
              <w:left w:w="88" w:type="dxa"/>
              <w:bottom w:w="88" w:type="dxa"/>
              <w:right w:w="88" w:type="dxa"/>
            </w:tcMar>
          </w:tcPr>
          <w:p w:rsidR="000F3799" w:rsidRPr="00E85451" w:rsidRDefault="00923EE2">
            <w:pPr>
              <w:ind w:right="-8"/>
              <w:jc w:val="both"/>
              <w:rPr>
                <w:rFonts w:ascii="Arial" w:hAnsi="Arial" w:cs="Arial"/>
                <w:color w:val="auto"/>
                <w:sz w:val="22"/>
                <w:szCs w:val="22"/>
              </w:rPr>
            </w:pPr>
            <w:r w:rsidRPr="00E85451">
              <w:rPr>
                <w:rFonts w:ascii="Arial" w:eastAsia="Arial" w:hAnsi="Arial" w:cs="Arial"/>
                <w:color w:val="auto"/>
                <w:sz w:val="22"/>
                <w:szCs w:val="22"/>
              </w:rPr>
              <w:lastRenderedPageBreak/>
              <w:t xml:space="preserve">Aktivnosti poduzete tijekom </w:t>
            </w:r>
            <w:r w:rsidR="0049391E" w:rsidRPr="00E85451">
              <w:rPr>
                <w:rFonts w:ascii="Arial" w:eastAsia="Arial" w:hAnsi="Arial" w:cs="Arial"/>
                <w:color w:val="auto"/>
                <w:sz w:val="22"/>
                <w:szCs w:val="22"/>
              </w:rPr>
              <w:t>2014</w:t>
            </w:r>
            <w:r w:rsidRPr="00E85451">
              <w:rPr>
                <w:rFonts w:ascii="Arial" w:eastAsia="Arial" w:hAnsi="Arial" w:cs="Arial"/>
                <w:color w:val="auto"/>
                <w:sz w:val="22"/>
                <w:szCs w:val="22"/>
              </w:rPr>
              <w:t>.g.</w:t>
            </w:r>
          </w:p>
        </w:tc>
        <w:tc>
          <w:tcPr>
            <w:tcW w:w="8017" w:type="dxa"/>
            <w:tcMar>
              <w:top w:w="88" w:type="dxa"/>
              <w:left w:w="88" w:type="dxa"/>
              <w:bottom w:w="88" w:type="dxa"/>
              <w:right w:w="88" w:type="dxa"/>
            </w:tcMar>
          </w:tcPr>
          <w:p w:rsidR="004E475A" w:rsidRPr="00E85451" w:rsidRDefault="004E475A" w:rsidP="004E475A">
            <w:pPr>
              <w:ind w:right="-8"/>
              <w:jc w:val="both"/>
              <w:rPr>
                <w:rFonts w:ascii="Arial" w:hAnsi="Arial" w:cs="Arial"/>
                <w:b/>
                <w:color w:val="auto"/>
                <w:sz w:val="22"/>
                <w:szCs w:val="22"/>
              </w:rPr>
            </w:pPr>
            <w:r w:rsidRPr="00E85451">
              <w:rPr>
                <w:rFonts w:ascii="Arial" w:eastAsia="Arial" w:hAnsi="Arial" w:cs="Arial"/>
                <w:b/>
                <w:color w:val="auto"/>
                <w:sz w:val="22"/>
                <w:szCs w:val="22"/>
              </w:rPr>
              <w:t>Europass</w:t>
            </w:r>
          </w:p>
          <w:p w:rsidR="004E475A" w:rsidRPr="00E85451" w:rsidRDefault="004E475A" w:rsidP="004E475A">
            <w:pPr>
              <w:ind w:right="-8"/>
              <w:jc w:val="both"/>
              <w:rPr>
                <w:rFonts w:ascii="Arial" w:eastAsia="Arial" w:hAnsi="Arial" w:cs="Arial"/>
                <w:color w:val="auto"/>
                <w:sz w:val="22"/>
                <w:szCs w:val="22"/>
              </w:rPr>
            </w:pPr>
            <w:r w:rsidRPr="00E85451">
              <w:rPr>
                <w:rFonts w:ascii="Arial" w:eastAsia="Arial" w:hAnsi="Arial" w:cs="Arial"/>
                <w:color w:val="auto"/>
                <w:sz w:val="22"/>
                <w:szCs w:val="22"/>
              </w:rPr>
              <w:t>Aktivnosti Nacionalnoga Europass centra Hrvatska provedene tijekom 2014. godine, među ostalim, uključuju prikupljanje statističkih podataka o načinu izrade i izdavanja Europass dokumenata, pružanje tehničke potpore hrvatskim korisnicima prilikom izrade dokumenata Europass mobilnost, Europass životopis i jezična putovnica, redovni sastanci s nacionalnim dionicima i socijalnim partnerima radi određivanja odgovarajućih promidžbenih taktika, pisanje i uređivanje informativnih izdanja NEC-a Hrvatska, redovito sudjelovanje u radu europske skupine NEC-ova, bliska suradnja s Europskom komisijom, sudjelovanje u izradi agencijskoga biltena, kao i europskoga glasila o Europassu (informiranje o nacionalnim aktivnostima NEC-a Hrvatska), uspostavu intenzivne suradnje s Područnim uredom Opće uprave za pismeno prevođenje Europske komisije koja djeluje pri Predstavništvu Europske komisije u Republici Hrvatskoj, uspješna suradnja sa zagrebačkim Centrom za informiranje i savjetovanje o karijeri Hrvatskog zavoda za zapošljavanje, sudjelovanje u provedbi prvog izdanja europskoga natječaja za najbolji video o Europassu (jedan od  dobitnika nagrada je i hrvatski sudionik), uspješnu suradnju s EURES-om Hrvatska itd.</w:t>
            </w:r>
          </w:p>
          <w:p w:rsidR="00E742C6" w:rsidRPr="00E85451" w:rsidRDefault="00E742C6">
            <w:pPr>
              <w:ind w:right="-8"/>
              <w:jc w:val="both"/>
              <w:rPr>
                <w:rFonts w:ascii="Arial" w:eastAsia="Arial" w:hAnsi="Arial" w:cs="Arial"/>
                <w:b/>
                <w:color w:val="auto"/>
                <w:sz w:val="22"/>
                <w:szCs w:val="22"/>
              </w:rPr>
            </w:pPr>
          </w:p>
          <w:p w:rsidR="000F3799" w:rsidRPr="00E85451" w:rsidRDefault="00923EE2">
            <w:pPr>
              <w:ind w:right="-8"/>
              <w:jc w:val="both"/>
              <w:rPr>
                <w:rFonts w:ascii="Arial" w:hAnsi="Arial" w:cs="Arial"/>
                <w:b/>
                <w:color w:val="auto"/>
                <w:sz w:val="22"/>
                <w:szCs w:val="22"/>
                <w:highlight w:val="yellow"/>
              </w:rPr>
            </w:pPr>
            <w:r w:rsidRPr="00E85451">
              <w:rPr>
                <w:rFonts w:ascii="Arial" w:eastAsia="Arial" w:hAnsi="Arial" w:cs="Arial"/>
                <w:b/>
                <w:color w:val="auto"/>
                <w:sz w:val="22"/>
                <w:szCs w:val="22"/>
              </w:rPr>
              <w:t>Euroguidance</w:t>
            </w:r>
            <w:r w:rsidRPr="00E85451">
              <w:rPr>
                <w:rFonts w:ascii="Arial" w:eastAsia="Arial" w:hAnsi="Arial" w:cs="Arial"/>
                <w:b/>
                <w:color w:val="auto"/>
                <w:sz w:val="22"/>
                <w:szCs w:val="22"/>
                <w:highlight w:val="yellow"/>
              </w:rPr>
              <w:t xml:space="preserve"> </w:t>
            </w:r>
          </w:p>
          <w:p w:rsidR="00AC2AE5" w:rsidRPr="00E85451" w:rsidRDefault="008C2AC4" w:rsidP="00860FAB">
            <w:pPr>
              <w:jc w:val="both"/>
              <w:rPr>
                <w:rFonts w:ascii="Arial" w:eastAsia="Arial" w:hAnsi="Arial" w:cs="Arial"/>
                <w:iCs/>
                <w:color w:val="auto"/>
                <w:sz w:val="22"/>
                <w:szCs w:val="22"/>
              </w:rPr>
            </w:pPr>
            <w:r w:rsidRPr="00E85451">
              <w:rPr>
                <w:rFonts w:ascii="Arial" w:eastAsia="Arial" w:hAnsi="Arial" w:cs="Arial"/>
                <w:color w:val="auto"/>
                <w:sz w:val="22"/>
                <w:szCs w:val="22"/>
              </w:rPr>
              <w:t xml:space="preserve">Uz redovne aktivnosti koje uključuju sudjelovanje u Forumu za cjeloživotno profesionalno usmjeravanje i razvoj karijere, ažuriranje </w:t>
            </w:r>
            <w:r w:rsidR="00D0103D" w:rsidRPr="00E85451">
              <w:rPr>
                <w:rFonts w:ascii="Arial" w:eastAsia="Arial" w:hAnsi="Arial" w:cs="Arial"/>
                <w:color w:val="auto"/>
                <w:sz w:val="22"/>
                <w:szCs w:val="22"/>
              </w:rPr>
              <w:t>informacija</w:t>
            </w:r>
            <w:r w:rsidRPr="00E85451">
              <w:rPr>
                <w:rFonts w:ascii="Arial" w:eastAsia="Arial" w:hAnsi="Arial" w:cs="Arial"/>
                <w:color w:val="auto"/>
                <w:sz w:val="22"/>
                <w:szCs w:val="22"/>
              </w:rPr>
              <w:t xml:space="preserve"> Euroguidance Hrvatska u okviru </w:t>
            </w:r>
            <w:r w:rsidR="00D0103D" w:rsidRPr="00E85451">
              <w:rPr>
                <w:rFonts w:ascii="Arial" w:eastAsia="Arial" w:hAnsi="Arial" w:cs="Arial"/>
                <w:color w:val="auto"/>
                <w:sz w:val="22"/>
                <w:szCs w:val="22"/>
              </w:rPr>
              <w:t>mrežne stranice Agencije</w:t>
            </w:r>
            <w:r w:rsidRPr="00E85451">
              <w:rPr>
                <w:rFonts w:ascii="Arial" w:eastAsia="Arial" w:hAnsi="Arial" w:cs="Arial"/>
                <w:color w:val="auto"/>
                <w:sz w:val="22"/>
                <w:szCs w:val="22"/>
              </w:rPr>
              <w:t xml:space="preserve">, odgovaranje na upute, održavanje Ploteus portala, popunjavanje i ažuriranje baze savjetnika/dionika sustava profesionalnog usmjeravanja provedeno je i Istraživanje </w:t>
            </w:r>
            <w:r w:rsidRPr="00E85451">
              <w:rPr>
                <w:rFonts w:ascii="Arial" w:eastAsia="Arial" w:hAnsi="Arial" w:cs="Arial"/>
                <w:iCs/>
                <w:color w:val="auto"/>
                <w:sz w:val="22"/>
                <w:szCs w:val="22"/>
              </w:rPr>
              <w:t xml:space="preserve">o postojećim kapacitetima osnovnih i srednjih škola za provedbu profesionalnog usmjeravanja </w:t>
            </w:r>
          </w:p>
          <w:p w:rsidR="00AC2AE5" w:rsidRPr="00E85451" w:rsidRDefault="008C2AC4" w:rsidP="00860FAB">
            <w:pPr>
              <w:jc w:val="both"/>
              <w:rPr>
                <w:rFonts w:ascii="Arial" w:eastAsia="Arial" w:hAnsi="Arial" w:cs="Arial"/>
                <w:color w:val="auto"/>
                <w:sz w:val="22"/>
                <w:szCs w:val="22"/>
              </w:rPr>
            </w:pPr>
            <w:r w:rsidRPr="00E85451">
              <w:rPr>
                <w:rFonts w:ascii="Arial" w:eastAsia="Arial" w:hAnsi="Arial" w:cs="Arial"/>
                <w:color w:val="auto"/>
                <w:sz w:val="22"/>
                <w:szCs w:val="22"/>
              </w:rPr>
              <w:t>U suradnji s Institutom za društvena istraživanja i Filozofskim fakultetom Sveučilišta u Zagrebu održana su četiri dvodnevna seminara o profesionalnom usmjeravanju za nastavnike osnovnih škola te stručne suradnike pedagoge i psihologe</w:t>
            </w:r>
            <w:r w:rsidR="00D0103D" w:rsidRPr="00E85451">
              <w:rPr>
                <w:rFonts w:ascii="Arial" w:eastAsia="Arial" w:hAnsi="Arial" w:cs="Arial"/>
                <w:color w:val="auto"/>
                <w:sz w:val="22"/>
                <w:szCs w:val="22"/>
              </w:rPr>
              <w:t xml:space="preserve"> za ukupno 100-tinjak sudionika</w:t>
            </w:r>
            <w:r w:rsidRPr="00E85451">
              <w:rPr>
                <w:rFonts w:ascii="Arial" w:eastAsia="Arial" w:hAnsi="Arial" w:cs="Arial"/>
                <w:color w:val="auto"/>
                <w:sz w:val="22"/>
                <w:szCs w:val="22"/>
              </w:rPr>
              <w:t>.</w:t>
            </w:r>
          </w:p>
          <w:p w:rsidR="00AC2AE5" w:rsidRPr="00E85451" w:rsidRDefault="00AC2AE5" w:rsidP="00AC2AE5">
            <w:pPr>
              <w:ind w:right="-8"/>
              <w:jc w:val="both"/>
              <w:rPr>
                <w:rFonts w:ascii="Arial" w:eastAsia="Arial" w:hAnsi="Arial" w:cs="Arial"/>
                <w:color w:val="auto"/>
                <w:sz w:val="22"/>
                <w:szCs w:val="22"/>
              </w:rPr>
            </w:pPr>
          </w:p>
          <w:p w:rsidR="00AC2AE5" w:rsidRPr="00E85451" w:rsidRDefault="008C2AC4" w:rsidP="00AC2AE5">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Na inicijativu Euroguidance centara u prosincu 2014. g. održan je zajednički sastanak partnerskih institucija i Foruma za cjeloživotno profesionalno usmjeravanje i razvoj karijere s ciljem bolje umreženosti, koordinacije i upoznavanja svih ključnih dionika s provedenim aktivnostima u području </w:t>
            </w:r>
            <w:r w:rsidRPr="00E85451">
              <w:rPr>
                <w:rFonts w:ascii="Arial" w:eastAsia="Arial" w:hAnsi="Arial" w:cs="Arial"/>
                <w:color w:val="auto"/>
                <w:sz w:val="22"/>
                <w:szCs w:val="22"/>
              </w:rPr>
              <w:lastRenderedPageBreak/>
              <w:t>profesionalnog usmjeravanja i karijernog savjetovanja, a koje mogu poslužiti kao podloga daljnjem razvoju i ostvarivanju zadaća Foruma.</w:t>
            </w:r>
          </w:p>
          <w:p w:rsidR="00AC2AE5" w:rsidRPr="00E85451" w:rsidRDefault="00AC2AE5" w:rsidP="00AC2AE5">
            <w:pPr>
              <w:ind w:right="-8"/>
              <w:jc w:val="both"/>
              <w:rPr>
                <w:rFonts w:ascii="Arial" w:eastAsia="Arial" w:hAnsi="Arial" w:cs="Arial"/>
                <w:color w:val="auto"/>
                <w:sz w:val="22"/>
                <w:szCs w:val="22"/>
              </w:rPr>
            </w:pPr>
          </w:p>
          <w:p w:rsidR="00F66FA9" w:rsidRPr="00E85451" w:rsidRDefault="008C2AC4" w:rsidP="00AC2AE5">
            <w:pPr>
              <w:ind w:right="-8"/>
              <w:jc w:val="both"/>
              <w:rPr>
                <w:rFonts w:ascii="Arial" w:eastAsia="Arial" w:hAnsi="Arial" w:cs="Arial"/>
                <w:color w:val="auto"/>
                <w:sz w:val="22"/>
                <w:szCs w:val="22"/>
              </w:rPr>
            </w:pPr>
            <w:r w:rsidRPr="00E85451">
              <w:rPr>
                <w:rFonts w:ascii="Arial" w:eastAsia="Arial" w:hAnsi="Arial" w:cs="Arial"/>
                <w:bCs/>
                <w:color w:val="auto"/>
                <w:sz w:val="22"/>
                <w:szCs w:val="22"/>
              </w:rPr>
              <w:t xml:space="preserve">Euroguidance centar Hrvatska u 2014. godini bio je domaćin Prekograničnog seminara „Savjetodavne metode za suzbijanje nezaposlenosti mladih“ održanog </w:t>
            </w:r>
            <w:r w:rsidRPr="00E85451">
              <w:rPr>
                <w:rFonts w:ascii="Arial" w:eastAsia="Arial" w:hAnsi="Arial" w:cs="Arial"/>
                <w:color w:val="auto"/>
                <w:sz w:val="22"/>
                <w:szCs w:val="22"/>
              </w:rPr>
              <w:t>u</w:t>
            </w:r>
            <w:r w:rsidRPr="00E85451">
              <w:rPr>
                <w:rFonts w:ascii="Arial" w:eastAsia="Arial" w:hAnsi="Arial" w:cs="Arial"/>
                <w:bCs/>
                <w:color w:val="auto"/>
                <w:sz w:val="22"/>
                <w:szCs w:val="22"/>
              </w:rPr>
              <w:t xml:space="preserve"> Zagrebu.</w:t>
            </w:r>
            <w:r w:rsidRPr="00E85451">
              <w:rPr>
                <w:rFonts w:ascii="Arial" w:eastAsia="Arial" w:hAnsi="Arial" w:cs="Arial"/>
                <w:b/>
                <w:bCs/>
                <w:color w:val="auto"/>
                <w:sz w:val="22"/>
                <w:szCs w:val="22"/>
              </w:rPr>
              <w:t xml:space="preserve"> </w:t>
            </w:r>
            <w:r w:rsidRPr="00E85451">
              <w:rPr>
                <w:rFonts w:ascii="Arial" w:eastAsia="Arial" w:hAnsi="Arial" w:cs="Arial"/>
                <w:bCs/>
                <w:color w:val="auto"/>
                <w:sz w:val="22"/>
                <w:szCs w:val="22"/>
              </w:rPr>
              <w:t>Uz predstavnike Ministarstva znanosti, obrazovanja i sporta, Ministarstva rada i mirovinskog sustava te Hrvatskog zavoda za zapošljavanje, seminar je okupio oko 70 praktičara iz ukupno 11 europskih zemalja. Savjetnici su dobili priliku za usvajanje savjetodavnih metoda za borbu protiv nezaposlenosti mladih, središnje teme ovog dvodnevnog seminara.</w:t>
            </w:r>
          </w:p>
          <w:p w:rsidR="0049391E" w:rsidRPr="00E85451" w:rsidRDefault="0049391E" w:rsidP="005A5DEA">
            <w:pPr>
              <w:ind w:right="-8"/>
              <w:jc w:val="both"/>
              <w:rPr>
                <w:rFonts w:ascii="Arial" w:hAnsi="Arial" w:cs="Arial"/>
                <w:color w:val="auto"/>
                <w:sz w:val="22"/>
                <w:szCs w:val="22"/>
              </w:rPr>
            </w:pPr>
          </w:p>
          <w:p w:rsidR="0049391E" w:rsidRPr="00E85451" w:rsidRDefault="008C2AC4" w:rsidP="005A5DEA">
            <w:pPr>
              <w:ind w:right="-8"/>
              <w:jc w:val="both"/>
              <w:rPr>
                <w:rFonts w:ascii="Arial" w:hAnsi="Arial" w:cs="Arial"/>
                <w:b/>
                <w:color w:val="auto"/>
                <w:sz w:val="22"/>
                <w:szCs w:val="22"/>
              </w:rPr>
            </w:pPr>
            <w:r w:rsidRPr="00E85451">
              <w:rPr>
                <w:rFonts w:ascii="Arial" w:hAnsi="Arial" w:cs="Arial"/>
                <w:b/>
                <w:color w:val="auto"/>
                <w:sz w:val="22"/>
                <w:szCs w:val="22"/>
              </w:rPr>
              <w:t>eTwinning</w:t>
            </w:r>
          </w:p>
          <w:p w:rsidR="0049391E" w:rsidRPr="00E85451" w:rsidRDefault="00CF45B4" w:rsidP="005A5DEA">
            <w:pPr>
              <w:ind w:right="-8"/>
              <w:jc w:val="both"/>
              <w:rPr>
                <w:rFonts w:ascii="Arial" w:hAnsi="Arial" w:cs="Arial"/>
                <w:color w:val="auto"/>
                <w:sz w:val="22"/>
                <w:szCs w:val="22"/>
              </w:rPr>
            </w:pPr>
            <w:r w:rsidRPr="00E85451">
              <w:rPr>
                <w:rFonts w:ascii="Arial" w:hAnsi="Arial" w:cs="Arial"/>
                <w:color w:val="auto"/>
                <w:sz w:val="22"/>
                <w:szCs w:val="22"/>
              </w:rPr>
              <w:t>U svrhu podrške korisnicima, u 2014. godini provedeno je sedam posjeta školama u različitim regijama. Osoblje Nacionalne službe za podršku eTwinningu svakodnevno je na raspolaganju korisnicima putem e-maila, telefona, društvenih mreža i portala eTwinning. U suradnji s eTwinning ambasadorima, vanjskim suradnicima s dugogodišnjim iskustvom u nastavi i eTwinning projektima, organizirani su različiti oblici stručnog usavršavanja: 9 mrežnih usavršavanja, 13 radionica i info dana, te nacionalna godišnja konferencija. Na europskoj razini, 39 hrvatskih korisnika sudjelovalo je na 4 multilateralna seminara, 3 radionice, 2 tečaja i europskoj godišnjoj konferenciji. U svrhu povećanja kvalitete eTwinning projekata, organiziran je webinar s praktičnim savjetima i uputama. Nacionalna služba za podršku objavila je natječaj za dodjelu eTwinning nagrada najkvalitetnijim projektima u 4 kategorije. 1200 novih korisnika registriralo se na portal u 2014., što je gotovo dvostruko više nego u 2013. godini (604). Nacionalna služba za podršku u suradnji s Odjelom za opće obrazovanje sudjelovala je na događanjima posebno usmjerenima na ravnatelje, vrtiće i srednje škole. Mogućnosti eTwinninga predstavljene su na Županijskim stručnim vijećima za 138 ravnatelja Šibensko-kninske županije i Grada Zagreba. Dva kombinirana usavršavanja (mrežno i fizičko usavršavanje) organizirana su posebno za 126 djelatnika vrtića, a više od 180 djelatnika srednjih škola sudjelovalo je na eTwinning prezentacijama i radionicama u 2014. godini.</w:t>
            </w:r>
          </w:p>
          <w:p w:rsidR="007230E9" w:rsidRPr="00E85451" w:rsidRDefault="007230E9" w:rsidP="005A5DEA">
            <w:pPr>
              <w:ind w:right="-8"/>
              <w:jc w:val="both"/>
              <w:rPr>
                <w:rFonts w:ascii="Arial" w:hAnsi="Arial" w:cs="Arial"/>
                <w:color w:val="auto"/>
                <w:sz w:val="22"/>
                <w:szCs w:val="22"/>
              </w:rPr>
            </w:pPr>
          </w:p>
        </w:tc>
      </w:tr>
      <w:tr w:rsidR="00E85451" w:rsidRPr="00E85451">
        <w:tc>
          <w:tcPr>
            <w:tcW w:w="1560" w:type="dxa"/>
            <w:tcMar>
              <w:top w:w="88" w:type="dxa"/>
              <w:left w:w="88" w:type="dxa"/>
              <w:bottom w:w="88" w:type="dxa"/>
              <w:right w:w="88" w:type="dxa"/>
            </w:tcMar>
          </w:tcPr>
          <w:p w:rsidR="000F3799" w:rsidRPr="00E85451" w:rsidRDefault="00923EE2" w:rsidP="00F85FBF">
            <w:pPr>
              <w:ind w:right="-8"/>
              <w:rPr>
                <w:rFonts w:ascii="Arial" w:hAnsi="Arial" w:cs="Arial"/>
                <w:color w:val="auto"/>
                <w:sz w:val="22"/>
                <w:szCs w:val="22"/>
              </w:rPr>
            </w:pPr>
            <w:r w:rsidRPr="00E85451">
              <w:rPr>
                <w:rFonts w:ascii="Arial" w:eastAsia="Arial" w:hAnsi="Arial" w:cs="Arial"/>
                <w:color w:val="auto"/>
                <w:sz w:val="22"/>
                <w:szCs w:val="22"/>
              </w:rPr>
              <w:lastRenderedPageBreak/>
              <w:t>Odobreni proračun s omjerima financiranja</w:t>
            </w:r>
          </w:p>
        </w:tc>
        <w:tc>
          <w:tcPr>
            <w:tcW w:w="8017" w:type="dxa"/>
            <w:tcMar>
              <w:top w:w="88" w:type="dxa"/>
              <w:left w:w="88" w:type="dxa"/>
              <w:bottom w:w="88" w:type="dxa"/>
              <w:right w:w="88" w:type="dxa"/>
            </w:tcMar>
          </w:tcPr>
          <w:p w:rsidR="007230E9" w:rsidRPr="00E85451" w:rsidRDefault="007230E9" w:rsidP="007230E9">
            <w:pPr>
              <w:ind w:right="-8"/>
              <w:jc w:val="both"/>
              <w:rPr>
                <w:rFonts w:ascii="Arial" w:eastAsia="Arial" w:hAnsi="Arial" w:cs="Arial"/>
                <w:b/>
                <w:color w:val="auto"/>
                <w:sz w:val="22"/>
                <w:szCs w:val="22"/>
              </w:rPr>
            </w:pPr>
            <w:r w:rsidRPr="00E85451">
              <w:rPr>
                <w:rFonts w:ascii="Arial" w:eastAsia="Arial" w:hAnsi="Arial" w:cs="Arial"/>
                <w:b/>
                <w:color w:val="auto"/>
                <w:sz w:val="22"/>
                <w:szCs w:val="22"/>
              </w:rPr>
              <w:t xml:space="preserve">Europass </w:t>
            </w:r>
          </w:p>
          <w:p w:rsidR="007230E9" w:rsidRPr="00E85451" w:rsidRDefault="007230E9" w:rsidP="007230E9">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40.000,00 eura, pri čemu je </w:t>
            </w:r>
            <w:r w:rsidR="00E5539A" w:rsidRPr="00E85451">
              <w:rPr>
                <w:rFonts w:ascii="Arial" w:eastAsia="Arial" w:hAnsi="Arial" w:cs="Arial"/>
                <w:color w:val="auto"/>
                <w:sz w:val="22"/>
                <w:szCs w:val="22"/>
              </w:rPr>
              <w:t>4</w:t>
            </w:r>
            <w:r w:rsidRPr="00E85451">
              <w:rPr>
                <w:rFonts w:ascii="Arial" w:eastAsia="Arial" w:hAnsi="Arial" w:cs="Arial"/>
                <w:color w:val="auto"/>
                <w:sz w:val="22"/>
                <w:szCs w:val="22"/>
              </w:rPr>
              <w:t xml:space="preserve">0% nacionalno sufinanciranje i </w:t>
            </w:r>
            <w:r w:rsidR="00E5539A" w:rsidRPr="00E85451">
              <w:rPr>
                <w:rFonts w:ascii="Arial" w:eastAsia="Arial" w:hAnsi="Arial" w:cs="Arial"/>
                <w:color w:val="auto"/>
                <w:sz w:val="22"/>
                <w:szCs w:val="22"/>
              </w:rPr>
              <w:t>6</w:t>
            </w:r>
            <w:r w:rsidRPr="00E85451">
              <w:rPr>
                <w:rFonts w:ascii="Arial" w:eastAsia="Arial" w:hAnsi="Arial" w:cs="Arial"/>
                <w:color w:val="auto"/>
                <w:sz w:val="22"/>
                <w:szCs w:val="22"/>
              </w:rPr>
              <w:t>0% sredstva koja dodjeljuje Europska komisija</w:t>
            </w:r>
            <w:r w:rsidR="00E5539A" w:rsidRPr="00E85451">
              <w:rPr>
                <w:rFonts w:ascii="Arial" w:eastAsia="Arial" w:hAnsi="Arial" w:cs="Arial"/>
                <w:color w:val="auto"/>
                <w:sz w:val="22"/>
                <w:szCs w:val="22"/>
              </w:rPr>
              <w:t xml:space="preserve"> (iznimno za 2014.g.)</w:t>
            </w:r>
          </w:p>
          <w:p w:rsidR="007230E9" w:rsidRPr="00E85451" w:rsidRDefault="007230E9" w:rsidP="00762154">
            <w:pPr>
              <w:ind w:right="-8"/>
              <w:jc w:val="both"/>
              <w:rPr>
                <w:rFonts w:ascii="Arial" w:eastAsia="Arial" w:hAnsi="Arial" w:cs="Arial"/>
                <w:color w:val="auto"/>
                <w:sz w:val="22"/>
                <w:szCs w:val="22"/>
              </w:rPr>
            </w:pPr>
          </w:p>
          <w:p w:rsidR="00762154" w:rsidRPr="00E85451" w:rsidRDefault="00762154" w:rsidP="00762154">
            <w:pPr>
              <w:ind w:right="-8"/>
              <w:jc w:val="both"/>
              <w:rPr>
                <w:rFonts w:ascii="Arial" w:eastAsia="Arial" w:hAnsi="Arial" w:cs="Arial"/>
                <w:color w:val="auto"/>
                <w:sz w:val="22"/>
                <w:szCs w:val="22"/>
              </w:rPr>
            </w:pPr>
            <w:r w:rsidRPr="00E85451">
              <w:rPr>
                <w:rFonts w:ascii="Arial" w:eastAsia="Arial" w:hAnsi="Arial" w:cs="Arial"/>
                <w:b/>
                <w:color w:val="auto"/>
                <w:sz w:val="22"/>
                <w:szCs w:val="22"/>
              </w:rPr>
              <w:t>Euroguidance</w:t>
            </w:r>
          </w:p>
          <w:p w:rsidR="0049391E" w:rsidRPr="00E85451" w:rsidRDefault="00AC2AE5" w:rsidP="00762154">
            <w:pPr>
              <w:spacing w:before="100" w:after="100"/>
              <w:ind w:right="-8"/>
              <w:rPr>
                <w:rFonts w:ascii="Arial" w:eastAsia="Arial" w:hAnsi="Arial" w:cs="Arial"/>
                <w:color w:val="auto"/>
                <w:sz w:val="22"/>
                <w:szCs w:val="22"/>
              </w:rPr>
            </w:pPr>
            <w:r w:rsidRPr="00E85451">
              <w:rPr>
                <w:rFonts w:ascii="Arial" w:eastAsia="Arial" w:hAnsi="Arial" w:cs="Arial"/>
                <w:color w:val="auto"/>
                <w:sz w:val="22"/>
                <w:szCs w:val="22"/>
              </w:rPr>
              <w:t>42.500,00 € (50% nacionalno sufinanciranje, 50% sredstva Europske komisije).</w:t>
            </w:r>
          </w:p>
          <w:p w:rsidR="00074A25" w:rsidRPr="00E85451" w:rsidRDefault="00074A25" w:rsidP="00762154">
            <w:pPr>
              <w:spacing w:before="100" w:after="100"/>
              <w:ind w:right="-8"/>
              <w:rPr>
                <w:rFonts w:ascii="Arial" w:eastAsia="Arial" w:hAnsi="Arial" w:cs="Arial"/>
                <w:b/>
                <w:color w:val="auto"/>
                <w:sz w:val="22"/>
                <w:szCs w:val="22"/>
              </w:rPr>
            </w:pPr>
          </w:p>
          <w:p w:rsidR="0049391E" w:rsidRPr="00E85451" w:rsidRDefault="008C2AC4" w:rsidP="00762154">
            <w:pPr>
              <w:spacing w:before="100" w:after="100"/>
              <w:ind w:right="-8"/>
              <w:rPr>
                <w:rFonts w:ascii="Arial" w:eastAsia="Arial" w:hAnsi="Arial" w:cs="Arial"/>
                <w:b/>
                <w:color w:val="auto"/>
                <w:sz w:val="22"/>
                <w:szCs w:val="22"/>
              </w:rPr>
            </w:pPr>
            <w:r w:rsidRPr="00E85451">
              <w:rPr>
                <w:rFonts w:ascii="Arial" w:eastAsia="Arial" w:hAnsi="Arial" w:cs="Arial"/>
                <w:b/>
                <w:color w:val="auto"/>
                <w:sz w:val="22"/>
                <w:szCs w:val="22"/>
              </w:rPr>
              <w:t>eTwinning</w:t>
            </w:r>
          </w:p>
          <w:p w:rsidR="00CF45B4" w:rsidRPr="00E85451" w:rsidRDefault="008C2AC4" w:rsidP="00CF45B4">
            <w:pPr>
              <w:ind w:right="-8"/>
              <w:jc w:val="both"/>
              <w:rPr>
                <w:rFonts w:ascii="Arial" w:eastAsia="Arial" w:hAnsi="Arial" w:cs="Arial"/>
                <w:color w:val="auto"/>
                <w:sz w:val="22"/>
                <w:szCs w:val="22"/>
              </w:rPr>
            </w:pPr>
            <w:r w:rsidRPr="00E85451">
              <w:rPr>
                <w:rFonts w:ascii="Arial" w:hAnsi="Arial" w:cs="Arial"/>
                <w:color w:val="auto"/>
                <w:sz w:val="22"/>
                <w:szCs w:val="22"/>
              </w:rPr>
              <w:t xml:space="preserve">102.500,00 EUR (778.103,00 kuna) pri čemu je 20% </w:t>
            </w:r>
            <w:r w:rsidRPr="00E85451">
              <w:rPr>
                <w:rFonts w:ascii="Arial" w:eastAsia="Arial" w:hAnsi="Arial" w:cs="Arial"/>
                <w:color w:val="auto"/>
                <w:sz w:val="22"/>
                <w:szCs w:val="22"/>
              </w:rPr>
              <w:t>nacionalno sufinanciranje, a 80% su sredstva koja dodjeljuje Europska komisija.</w:t>
            </w:r>
          </w:p>
          <w:p w:rsidR="005E3AD9" w:rsidRPr="00E85451" w:rsidRDefault="008E2E0E" w:rsidP="007E4E76">
            <w:pPr>
              <w:spacing w:before="100" w:after="100"/>
              <w:ind w:right="-8"/>
              <w:jc w:val="both"/>
              <w:rPr>
                <w:rFonts w:ascii="Arial" w:hAnsi="Arial" w:cs="Arial"/>
                <w:color w:val="auto"/>
                <w:sz w:val="22"/>
                <w:szCs w:val="22"/>
              </w:rPr>
            </w:pPr>
            <w:r w:rsidRPr="00E85451">
              <w:rPr>
                <w:rFonts w:ascii="Arial" w:hAnsi="Arial" w:cs="Arial"/>
                <w:color w:val="auto"/>
                <w:sz w:val="22"/>
                <w:szCs w:val="22"/>
              </w:rPr>
              <w:t>Provedena je vanjska revizija od strane Interexpert d.o.o. za 2014. godinu, te je utvrđeno da nije bilo nepravilnosti u provedbi programa.</w:t>
            </w:r>
          </w:p>
        </w:tc>
      </w:tr>
      <w:tr w:rsidR="00E85451" w:rsidRPr="00E85451">
        <w:tc>
          <w:tcPr>
            <w:tcW w:w="1560" w:type="dxa"/>
            <w:tcMar>
              <w:top w:w="88" w:type="dxa"/>
              <w:left w:w="88" w:type="dxa"/>
              <w:bottom w:w="88" w:type="dxa"/>
              <w:right w:w="88" w:type="dxa"/>
            </w:tcMar>
          </w:tcPr>
          <w:p w:rsidR="000F3799" w:rsidRPr="00E85451" w:rsidRDefault="00923EE2" w:rsidP="00F85FBF">
            <w:pPr>
              <w:ind w:right="-8"/>
              <w:rPr>
                <w:rFonts w:ascii="Arial" w:hAnsi="Arial" w:cs="Arial"/>
                <w:color w:val="auto"/>
                <w:sz w:val="22"/>
                <w:szCs w:val="22"/>
              </w:rPr>
            </w:pPr>
            <w:r w:rsidRPr="00E85451">
              <w:rPr>
                <w:rFonts w:ascii="Arial" w:eastAsia="Arial" w:hAnsi="Arial" w:cs="Arial"/>
                <w:color w:val="auto"/>
                <w:sz w:val="22"/>
                <w:szCs w:val="22"/>
              </w:rPr>
              <w:t>Ukupna iskorištenost sredstava u postocima</w:t>
            </w:r>
          </w:p>
        </w:tc>
        <w:tc>
          <w:tcPr>
            <w:tcW w:w="8017" w:type="dxa"/>
            <w:tcMar>
              <w:top w:w="88" w:type="dxa"/>
              <w:left w:w="88" w:type="dxa"/>
              <w:bottom w:w="88" w:type="dxa"/>
              <w:right w:w="88" w:type="dxa"/>
            </w:tcMar>
          </w:tcPr>
          <w:p w:rsidR="00F1511F" w:rsidRPr="00E85451" w:rsidRDefault="008C2AC4" w:rsidP="00F1511F">
            <w:pPr>
              <w:ind w:right="-8"/>
              <w:jc w:val="both"/>
              <w:rPr>
                <w:rFonts w:ascii="Arial" w:eastAsia="Arial" w:hAnsi="Arial" w:cs="Arial"/>
                <w:color w:val="auto"/>
                <w:sz w:val="22"/>
                <w:szCs w:val="22"/>
              </w:rPr>
            </w:pPr>
            <w:r w:rsidRPr="00E85451">
              <w:rPr>
                <w:rFonts w:ascii="Arial" w:eastAsia="Arial" w:hAnsi="Arial" w:cs="Arial"/>
                <w:b/>
                <w:color w:val="auto"/>
                <w:sz w:val="22"/>
                <w:szCs w:val="22"/>
              </w:rPr>
              <w:t>Europass</w:t>
            </w:r>
            <w:r w:rsidR="00F1511F" w:rsidRPr="00E85451">
              <w:rPr>
                <w:rFonts w:ascii="Arial" w:eastAsia="Arial" w:hAnsi="Arial" w:cs="Arial"/>
                <w:color w:val="auto"/>
                <w:sz w:val="22"/>
                <w:szCs w:val="22"/>
              </w:rPr>
              <w:t xml:space="preserve"> 73,7</w:t>
            </w:r>
            <w:r w:rsidR="000A06B1" w:rsidRPr="00E85451">
              <w:rPr>
                <w:rFonts w:ascii="Arial" w:eastAsia="Arial" w:hAnsi="Arial" w:cs="Arial"/>
                <w:color w:val="auto"/>
                <w:sz w:val="22"/>
                <w:szCs w:val="22"/>
              </w:rPr>
              <w:t>9</w:t>
            </w:r>
            <w:r w:rsidR="00F1511F" w:rsidRPr="00E85451">
              <w:rPr>
                <w:rFonts w:ascii="Arial" w:eastAsia="Arial" w:hAnsi="Arial" w:cs="Arial"/>
                <w:color w:val="auto"/>
                <w:sz w:val="22"/>
                <w:szCs w:val="22"/>
              </w:rPr>
              <w:t xml:space="preserve">% </w:t>
            </w:r>
          </w:p>
          <w:p w:rsidR="00762154" w:rsidRPr="00E85451" w:rsidRDefault="00762154" w:rsidP="00762154">
            <w:pPr>
              <w:ind w:right="-8"/>
              <w:jc w:val="both"/>
              <w:rPr>
                <w:rFonts w:ascii="Arial" w:eastAsia="Arial" w:hAnsi="Arial" w:cs="Arial"/>
                <w:color w:val="auto"/>
                <w:sz w:val="22"/>
                <w:szCs w:val="22"/>
              </w:rPr>
            </w:pPr>
          </w:p>
          <w:p w:rsidR="0049391E" w:rsidRPr="00E85451" w:rsidRDefault="008C2AC4" w:rsidP="00762154">
            <w:pPr>
              <w:ind w:right="-8"/>
              <w:jc w:val="both"/>
              <w:rPr>
                <w:rFonts w:ascii="Arial" w:eastAsia="Arial" w:hAnsi="Arial" w:cs="Arial"/>
                <w:color w:val="auto"/>
                <w:sz w:val="22"/>
                <w:szCs w:val="22"/>
              </w:rPr>
            </w:pPr>
            <w:r w:rsidRPr="00E85451">
              <w:rPr>
                <w:rFonts w:ascii="Arial" w:eastAsia="Arial" w:hAnsi="Arial" w:cs="Arial"/>
                <w:b/>
                <w:color w:val="auto"/>
                <w:sz w:val="22"/>
                <w:szCs w:val="22"/>
              </w:rPr>
              <w:t>Euroguidance</w:t>
            </w:r>
            <w:r w:rsidR="00762154" w:rsidRPr="00E85451">
              <w:rPr>
                <w:rFonts w:ascii="Arial" w:eastAsia="Arial" w:hAnsi="Arial" w:cs="Arial"/>
                <w:color w:val="auto"/>
                <w:sz w:val="22"/>
                <w:szCs w:val="22"/>
              </w:rPr>
              <w:t xml:space="preserve"> </w:t>
            </w:r>
            <w:r w:rsidR="00AC2AE5" w:rsidRPr="00E85451">
              <w:rPr>
                <w:rFonts w:ascii="Arial" w:eastAsia="Arial" w:hAnsi="Arial" w:cs="Arial"/>
                <w:color w:val="auto"/>
                <w:sz w:val="22"/>
                <w:szCs w:val="22"/>
              </w:rPr>
              <w:t xml:space="preserve">88,00% </w:t>
            </w:r>
          </w:p>
          <w:p w:rsidR="00E742C6" w:rsidRPr="00E85451" w:rsidRDefault="00E742C6" w:rsidP="00762154">
            <w:pPr>
              <w:ind w:right="-8"/>
              <w:jc w:val="both"/>
              <w:rPr>
                <w:rFonts w:ascii="Arial" w:eastAsia="Arial" w:hAnsi="Arial" w:cs="Arial"/>
                <w:b/>
                <w:color w:val="auto"/>
                <w:sz w:val="22"/>
                <w:szCs w:val="22"/>
              </w:rPr>
            </w:pPr>
          </w:p>
          <w:p w:rsidR="0049391E" w:rsidRPr="00E85451" w:rsidRDefault="008C2AC4" w:rsidP="00762154">
            <w:pPr>
              <w:ind w:right="-8"/>
              <w:jc w:val="both"/>
              <w:rPr>
                <w:rFonts w:ascii="Arial" w:eastAsia="Arial" w:hAnsi="Arial" w:cs="Arial"/>
                <w:color w:val="auto"/>
                <w:sz w:val="22"/>
                <w:szCs w:val="22"/>
              </w:rPr>
            </w:pPr>
            <w:r w:rsidRPr="00E85451">
              <w:rPr>
                <w:rFonts w:ascii="Arial" w:eastAsia="Arial" w:hAnsi="Arial" w:cs="Arial"/>
                <w:b/>
                <w:color w:val="auto"/>
                <w:sz w:val="22"/>
                <w:szCs w:val="22"/>
              </w:rPr>
              <w:lastRenderedPageBreak/>
              <w:t>eTwinning</w:t>
            </w:r>
            <w:r w:rsidRPr="00E85451">
              <w:rPr>
                <w:rFonts w:ascii="Arial" w:eastAsia="Arial" w:hAnsi="Arial" w:cs="Arial"/>
                <w:color w:val="auto"/>
                <w:sz w:val="22"/>
                <w:szCs w:val="22"/>
              </w:rPr>
              <w:t xml:space="preserve"> 80,3 %</w:t>
            </w:r>
          </w:p>
        </w:tc>
      </w:tr>
      <w:tr w:rsidR="00E85451" w:rsidRPr="00E85451">
        <w:tc>
          <w:tcPr>
            <w:tcW w:w="1560" w:type="dxa"/>
            <w:tcMar>
              <w:top w:w="88" w:type="dxa"/>
              <w:left w:w="88" w:type="dxa"/>
              <w:bottom w:w="88" w:type="dxa"/>
              <w:right w:w="88" w:type="dxa"/>
            </w:tcMar>
          </w:tcPr>
          <w:p w:rsidR="000F3799" w:rsidRPr="00E85451" w:rsidRDefault="00923EE2" w:rsidP="00F85FBF">
            <w:pPr>
              <w:ind w:right="-8"/>
              <w:rPr>
                <w:rFonts w:ascii="Arial" w:hAnsi="Arial" w:cs="Arial"/>
                <w:color w:val="auto"/>
                <w:sz w:val="22"/>
                <w:szCs w:val="22"/>
              </w:rPr>
            </w:pPr>
            <w:r w:rsidRPr="00E85451">
              <w:rPr>
                <w:rFonts w:ascii="Arial" w:eastAsia="Arial" w:hAnsi="Arial" w:cs="Arial"/>
                <w:color w:val="auto"/>
                <w:sz w:val="22"/>
                <w:szCs w:val="22"/>
              </w:rPr>
              <w:lastRenderedPageBreak/>
              <w:t>Promotivne, informativne i potporne aktivnosti</w:t>
            </w:r>
          </w:p>
        </w:tc>
        <w:tc>
          <w:tcPr>
            <w:tcW w:w="8017" w:type="dxa"/>
            <w:tcMar>
              <w:top w:w="88" w:type="dxa"/>
              <w:left w:w="88" w:type="dxa"/>
              <w:bottom w:w="88" w:type="dxa"/>
              <w:right w:w="88" w:type="dxa"/>
            </w:tcMar>
          </w:tcPr>
          <w:p w:rsidR="00716294" w:rsidRPr="00E85451" w:rsidRDefault="00716294" w:rsidP="00716294">
            <w:pPr>
              <w:ind w:right="-8"/>
              <w:jc w:val="both"/>
              <w:rPr>
                <w:rFonts w:ascii="Arial" w:eastAsia="Arial" w:hAnsi="Arial" w:cs="Arial"/>
                <w:color w:val="auto"/>
                <w:sz w:val="22"/>
                <w:szCs w:val="22"/>
              </w:rPr>
            </w:pPr>
            <w:r w:rsidRPr="00E85451">
              <w:rPr>
                <w:rFonts w:ascii="Arial" w:eastAsia="Arial" w:hAnsi="Arial" w:cs="Arial"/>
                <w:b/>
                <w:color w:val="auto"/>
                <w:sz w:val="22"/>
                <w:szCs w:val="22"/>
              </w:rPr>
              <w:t>Europass</w:t>
            </w:r>
            <w:r w:rsidRPr="00E85451">
              <w:rPr>
                <w:rFonts w:ascii="Arial" w:eastAsia="Arial" w:hAnsi="Arial" w:cs="Arial"/>
                <w:color w:val="auto"/>
                <w:sz w:val="22"/>
                <w:szCs w:val="22"/>
              </w:rPr>
              <w:t xml:space="preserve"> </w:t>
            </w:r>
          </w:p>
          <w:p w:rsidR="00716294" w:rsidRPr="00E85451" w:rsidRDefault="00716294" w:rsidP="00716294">
            <w:pPr>
              <w:ind w:right="-8"/>
              <w:jc w:val="both"/>
              <w:rPr>
                <w:rFonts w:ascii="Arial" w:eastAsia="Arial" w:hAnsi="Arial" w:cs="Arial"/>
                <w:color w:val="auto"/>
                <w:sz w:val="22"/>
                <w:szCs w:val="22"/>
              </w:rPr>
            </w:pPr>
            <w:r w:rsidRPr="00E85451">
              <w:rPr>
                <w:rFonts w:ascii="Arial" w:eastAsia="Arial" w:hAnsi="Arial" w:cs="Arial"/>
                <w:color w:val="auto"/>
                <w:sz w:val="22"/>
                <w:szCs w:val="22"/>
              </w:rPr>
              <w:t>- redovne radionice „Izrada Europass životopisa i jezične putovnice“ za tražitelje posla i ostale korisnike zagrebačkog Centra za informiranje i savjetovanje o karijeri Hrvatskoga zavoda za zapošljavanje,</w:t>
            </w:r>
          </w:p>
          <w:p w:rsidR="00716294" w:rsidRPr="00E85451" w:rsidRDefault="00716294" w:rsidP="00716294">
            <w:pPr>
              <w:ind w:right="-8"/>
              <w:jc w:val="both"/>
              <w:rPr>
                <w:rFonts w:ascii="Arial" w:eastAsia="Arial" w:hAnsi="Arial" w:cs="Arial"/>
                <w:color w:val="auto"/>
                <w:sz w:val="22"/>
                <w:szCs w:val="22"/>
              </w:rPr>
            </w:pPr>
            <w:r w:rsidRPr="00E85451">
              <w:rPr>
                <w:rFonts w:ascii="Arial" w:eastAsia="Arial" w:hAnsi="Arial" w:cs="Arial"/>
                <w:color w:val="auto"/>
                <w:sz w:val="22"/>
                <w:szCs w:val="22"/>
              </w:rPr>
              <w:t>- izlaganja o Europassu na fakultetima Sveučilišta u Zagrebu, srednjim školama, strukovnim/profesionalnim te studentskim udrugama,</w:t>
            </w:r>
          </w:p>
          <w:p w:rsidR="00716294" w:rsidRPr="00E85451" w:rsidRDefault="00716294" w:rsidP="00716294">
            <w:p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 izlaganje o Europassu u travnju 2014. godine u sklopu  događanja </w:t>
            </w:r>
            <w:r w:rsidRPr="00E85451">
              <w:rPr>
                <w:rFonts w:ascii="Arial" w:eastAsia="Arial" w:hAnsi="Arial" w:cs="Arial"/>
                <w:i/>
                <w:color w:val="auto"/>
                <w:sz w:val="22"/>
                <w:szCs w:val="22"/>
              </w:rPr>
              <w:t>Euraxess Roadshow</w:t>
            </w:r>
            <w:r w:rsidRPr="00E85451">
              <w:rPr>
                <w:rFonts w:ascii="Arial" w:eastAsia="Arial" w:hAnsi="Arial" w:cs="Arial"/>
                <w:color w:val="auto"/>
                <w:sz w:val="22"/>
                <w:szCs w:val="22"/>
              </w:rPr>
              <w:t>; sudjelovanje na Danima karijera Rudarsko-naftno-geološkog fakulteta i Fakulteta elektrotehnike i računarstva Sveučilišta u Zagrebu</w:t>
            </w:r>
          </w:p>
          <w:p w:rsidR="00716294" w:rsidRPr="00E85451" w:rsidRDefault="00716294" w:rsidP="00716294">
            <w:pPr>
              <w:ind w:right="-8"/>
              <w:jc w:val="both"/>
              <w:rPr>
                <w:rFonts w:ascii="Arial" w:eastAsia="Arial" w:hAnsi="Arial" w:cs="Arial"/>
                <w:color w:val="auto"/>
                <w:sz w:val="22"/>
                <w:szCs w:val="22"/>
              </w:rPr>
            </w:pPr>
            <w:r w:rsidRPr="00E85451">
              <w:rPr>
                <w:rFonts w:ascii="Arial" w:eastAsia="Arial" w:hAnsi="Arial" w:cs="Arial"/>
                <w:color w:val="auto"/>
                <w:sz w:val="22"/>
                <w:szCs w:val="22"/>
              </w:rPr>
              <w:t>- predstavljanje Europassa na radionicama “Međunarodna mobilnost učenika u kontekstu ECVET-a” održanima od studenoga do prosinca 2014. godine za ravnatelje i nastavnike srednjih strukovnih škola u sklopu aktivnosti Radne skupine stručnjaka za ECVET,</w:t>
            </w:r>
          </w:p>
          <w:p w:rsidR="00716294" w:rsidRPr="00E85451" w:rsidRDefault="00716294" w:rsidP="00716294">
            <w:pPr>
              <w:ind w:right="-8"/>
              <w:jc w:val="both"/>
              <w:rPr>
                <w:rFonts w:ascii="Arial" w:eastAsia="Arial" w:hAnsi="Arial" w:cs="Arial"/>
                <w:color w:val="auto"/>
                <w:sz w:val="22"/>
                <w:szCs w:val="22"/>
              </w:rPr>
            </w:pPr>
            <w:r w:rsidRPr="00E85451">
              <w:rPr>
                <w:rFonts w:ascii="Arial" w:eastAsia="Arial" w:hAnsi="Arial" w:cs="Arial"/>
                <w:color w:val="auto"/>
                <w:sz w:val="22"/>
                <w:szCs w:val="22"/>
              </w:rPr>
              <w:t>- sudjelovanje na Sajmu stipendija u listopadu 2014.,</w:t>
            </w:r>
          </w:p>
          <w:p w:rsidR="00716294" w:rsidRPr="00E85451" w:rsidRDefault="00716294" w:rsidP="00716294">
            <w:pPr>
              <w:ind w:right="-8"/>
              <w:jc w:val="both"/>
              <w:rPr>
                <w:rFonts w:ascii="Arial" w:eastAsia="Arial" w:hAnsi="Arial" w:cs="Arial"/>
                <w:color w:val="auto"/>
                <w:sz w:val="22"/>
                <w:szCs w:val="22"/>
              </w:rPr>
            </w:pPr>
            <w:r w:rsidRPr="00E85451">
              <w:rPr>
                <w:rFonts w:ascii="Arial" w:eastAsia="Arial" w:hAnsi="Arial" w:cs="Arial"/>
                <w:color w:val="auto"/>
                <w:sz w:val="22"/>
                <w:szCs w:val="22"/>
              </w:rPr>
              <w:t>- sudjelovanje na Smotri Sveučilišta u Zagrebu u studenom 2014.,</w:t>
            </w:r>
          </w:p>
          <w:p w:rsidR="00716294" w:rsidRPr="00E85451" w:rsidRDefault="00716294" w:rsidP="00716294">
            <w:pPr>
              <w:ind w:right="-8"/>
              <w:jc w:val="both"/>
              <w:rPr>
                <w:rFonts w:ascii="Arial" w:eastAsia="Arial" w:hAnsi="Arial" w:cs="Arial"/>
                <w:color w:val="auto"/>
                <w:sz w:val="22"/>
                <w:szCs w:val="22"/>
              </w:rPr>
            </w:pPr>
            <w:r w:rsidRPr="00E85451">
              <w:rPr>
                <w:rFonts w:ascii="Arial" w:eastAsia="Arial" w:hAnsi="Arial" w:cs="Arial"/>
                <w:color w:val="auto"/>
                <w:sz w:val="22"/>
                <w:szCs w:val="22"/>
              </w:rPr>
              <w:t>- sudjelovanje na EURES-ovu Danu i sajmu poslova, događanjima održanima u ožujku (Split) i u studenom (Opatija) 2014. godine,</w:t>
            </w:r>
          </w:p>
          <w:p w:rsidR="00716294" w:rsidRPr="00E85451" w:rsidRDefault="00407514" w:rsidP="00716294">
            <w:pPr>
              <w:ind w:right="-8"/>
              <w:jc w:val="both"/>
              <w:rPr>
                <w:rFonts w:ascii="Arial" w:eastAsia="Arial" w:hAnsi="Arial" w:cs="Arial"/>
                <w:color w:val="auto"/>
                <w:sz w:val="22"/>
                <w:szCs w:val="22"/>
              </w:rPr>
            </w:pPr>
            <w:r w:rsidRPr="00E85451">
              <w:rPr>
                <w:rFonts w:ascii="Arial" w:eastAsia="Arial" w:hAnsi="Arial" w:cs="Arial"/>
                <w:color w:val="auto"/>
                <w:sz w:val="22"/>
                <w:szCs w:val="22"/>
              </w:rPr>
              <w:t>-</w:t>
            </w:r>
            <w:r w:rsidR="00716294" w:rsidRPr="00E85451">
              <w:rPr>
                <w:rFonts w:ascii="Arial" w:eastAsia="Arial" w:hAnsi="Arial" w:cs="Arial"/>
                <w:color w:val="auto"/>
                <w:sz w:val="22"/>
                <w:szCs w:val="22"/>
              </w:rPr>
              <w:t xml:space="preserve"> sudjelovanje u obilježavanju Dana jezika u suradnji s Područnim uredom Opće uprave za pismeno prevođenje Europske komisije na više događanja,</w:t>
            </w:r>
          </w:p>
          <w:p w:rsidR="00716294" w:rsidRPr="00E85451" w:rsidRDefault="00716294">
            <w:pPr>
              <w:ind w:right="-8"/>
              <w:jc w:val="both"/>
              <w:rPr>
                <w:rFonts w:ascii="Arial" w:hAnsi="Arial" w:cs="Arial"/>
                <w:color w:val="auto"/>
                <w:sz w:val="22"/>
                <w:szCs w:val="22"/>
                <w:highlight w:val="yellow"/>
              </w:rPr>
            </w:pPr>
            <w:r w:rsidRPr="00E85451">
              <w:rPr>
                <w:rFonts w:ascii="Arial" w:eastAsia="Arial" w:hAnsi="Arial" w:cs="Arial"/>
                <w:color w:val="auto"/>
                <w:sz w:val="22"/>
                <w:szCs w:val="22"/>
              </w:rPr>
              <w:t>- objava oglasa o Europassu u tjedniku Lider (jedan broj) u prosincu 2014. godine.</w:t>
            </w:r>
          </w:p>
          <w:p w:rsidR="00E742C6" w:rsidRPr="00E85451" w:rsidRDefault="00E742C6" w:rsidP="0082462A">
            <w:pPr>
              <w:ind w:right="-8"/>
              <w:jc w:val="both"/>
              <w:rPr>
                <w:rFonts w:ascii="Arial" w:hAnsi="Arial" w:cs="Arial"/>
                <w:b/>
                <w:color w:val="auto"/>
                <w:sz w:val="22"/>
                <w:szCs w:val="22"/>
              </w:rPr>
            </w:pPr>
          </w:p>
          <w:p w:rsidR="00762154" w:rsidRPr="00E85451" w:rsidRDefault="00762154" w:rsidP="0082462A">
            <w:pPr>
              <w:ind w:right="-8"/>
              <w:jc w:val="both"/>
              <w:rPr>
                <w:rFonts w:ascii="Arial" w:hAnsi="Arial" w:cs="Arial"/>
                <w:color w:val="auto"/>
                <w:sz w:val="22"/>
                <w:szCs w:val="22"/>
              </w:rPr>
            </w:pPr>
            <w:r w:rsidRPr="00E85451">
              <w:rPr>
                <w:rFonts w:ascii="Arial" w:hAnsi="Arial" w:cs="Arial"/>
                <w:b/>
                <w:color w:val="auto"/>
                <w:sz w:val="22"/>
                <w:szCs w:val="22"/>
              </w:rPr>
              <w:t>Euroguidance</w:t>
            </w:r>
            <w:r w:rsidRPr="00E85451">
              <w:rPr>
                <w:rFonts w:ascii="Arial" w:hAnsi="Arial" w:cs="Arial"/>
                <w:color w:val="auto"/>
                <w:sz w:val="22"/>
                <w:szCs w:val="22"/>
              </w:rPr>
              <w:t xml:space="preserve"> </w:t>
            </w:r>
          </w:p>
          <w:p w:rsidR="00AC2AE5" w:rsidRPr="00E85451" w:rsidRDefault="006724DE" w:rsidP="00AC2AE5">
            <w:pPr>
              <w:ind w:right="-8"/>
              <w:jc w:val="both"/>
              <w:rPr>
                <w:rFonts w:ascii="Arial" w:hAnsi="Arial" w:cs="Arial"/>
                <w:color w:val="auto"/>
                <w:sz w:val="22"/>
                <w:szCs w:val="22"/>
              </w:rPr>
            </w:pPr>
            <w:r w:rsidRPr="00E85451">
              <w:rPr>
                <w:rFonts w:ascii="Arial" w:hAnsi="Arial" w:cs="Arial"/>
                <w:color w:val="auto"/>
                <w:sz w:val="22"/>
                <w:szCs w:val="22"/>
              </w:rPr>
              <w:t xml:space="preserve">Euroguidance </w:t>
            </w:r>
            <w:r w:rsidR="00AC2AE5" w:rsidRPr="00E85451">
              <w:rPr>
                <w:rFonts w:ascii="Arial" w:hAnsi="Arial" w:cs="Arial"/>
                <w:color w:val="auto"/>
                <w:sz w:val="22"/>
                <w:szCs w:val="22"/>
              </w:rPr>
              <w:t>mreža se predstavila na dva informativna dana, Sajmu poslova u Rijeci i Informativnom danu o uslugama Europassa, Euroguidance-a, E</w:t>
            </w:r>
            <w:r w:rsidRPr="00E85451">
              <w:rPr>
                <w:rFonts w:ascii="Arial" w:hAnsi="Arial" w:cs="Arial"/>
                <w:color w:val="auto"/>
                <w:sz w:val="22"/>
                <w:szCs w:val="22"/>
              </w:rPr>
              <w:t>URES-</w:t>
            </w:r>
            <w:r w:rsidR="00AC2AE5" w:rsidRPr="00E85451">
              <w:rPr>
                <w:rFonts w:ascii="Arial" w:hAnsi="Arial" w:cs="Arial"/>
                <w:color w:val="auto"/>
                <w:sz w:val="22"/>
                <w:szCs w:val="22"/>
              </w:rPr>
              <w:t>a i CISOK centra (Centri za informiranje i savjetovanje o karijeri) u Zagrebu.</w:t>
            </w:r>
          </w:p>
          <w:p w:rsidR="00762154" w:rsidRPr="00E85451" w:rsidRDefault="00AC2AE5" w:rsidP="00AC2AE5">
            <w:pPr>
              <w:ind w:right="-8"/>
              <w:jc w:val="both"/>
              <w:rPr>
                <w:rFonts w:ascii="Arial" w:hAnsi="Arial" w:cs="Arial"/>
                <w:color w:val="auto"/>
                <w:sz w:val="22"/>
                <w:szCs w:val="22"/>
              </w:rPr>
            </w:pPr>
            <w:r w:rsidRPr="00E85451">
              <w:rPr>
                <w:rFonts w:ascii="Arial" w:hAnsi="Arial" w:cs="Arial"/>
                <w:color w:val="auto"/>
                <w:sz w:val="22"/>
                <w:szCs w:val="22"/>
              </w:rPr>
              <w:t>Uz navedeno, u suradnji s Hrvatskim zavodom za zapošljavanje i CISOK centrom organiziran je Studijski posjet za predstavnike Nacionalne agencije iz Bosne i Hercegovine.</w:t>
            </w:r>
          </w:p>
          <w:p w:rsidR="008E34C8" w:rsidRPr="00E85451" w:rsidRDefault="008E34C8" w:rsidP="00762154">
            <w:pPr>
              <w:ind w:right="-8"/>
              <w:jc w:val="both"/>
              <w:rPr>
                <w:rFonts w:ascii="Arial" w:hAnsi="Arial" w:cs="Arial"/>
                <w:b/>
                <w:color w:val="auto"/>
                <w:sz w:val="22"/>
                <w:szCs w:val="22"/>
              </w:rPr>
            </w:pPr>
          </w:p>
          <w:p w:rsidR="006A5738" w:rsidRPr="00E85451" w:rsidRDefault="00CF45B4" w:rsidP="00762154">
            <w:pPr>
              <w:ind w:right="-8"/>
              <w:jc w:val="both"/>
              <w:rPr>
                <w:rFonts w:ascii="Arial" w:hAnsi="Arial" w:cs="Arial"/>
                <w:b/>
                <w:color w:val="auto"/>
                <w:sz w:val="22"/>
                <w:szCs w:val="22"/>
              </w:rPr>
            </w:pPr>
            <w:r w:rsidRPr="00E85451">
              <w:rPr>
                <w:rFonts w:ascii="Arial" w:hAnsi="Arial" w:cs="Arial"/>
                <w:b/>
                <w:color w:val="auto"/>
                <w:sz w:val="22"/>
                <w:szCs w:val="22"/>
              </w:rPr>
              <w:t>eT</w:t>
            </w:r>
            <w:r w:rsidR="006A5738" w:rsidRPr="00E85451">
              <w:rPr>
                <w:rFonts w:ascii="Arial" w:hAnsi="Arial" w:cs="Arial"/>
                <w:b/>
                <w:color w:val="auto"/>
                <w:sz w:val="22"/>
                <w:szCs w:val="22"/>
              </w:rPr>
              <w:t>winning</w:t>
            </w:r>
          </w:p>
          <w:p w:rsidR="00CF45B4" w:rsidRPr="00E85451" w:rsidRDefault="008C2AC4" w:rsidP="00762154">
            <w:pPr>
              <w:ind w:right="-8"/>
              <w:jc w:val="both"/>
              <w:rPr>
                <w:rFonts w:ascii="Arial" w:hAnsi="Arial" w:cs="Arial"/>
                <w:color w:val="auto"/>
                <w:sz w:val="22"/>
                <w:szCs w:val="22"/>
              </w:rPr>
            </w:pPr>
            <w:r w:rsidRPr="00E85451">
              <w:rPr>
                <w:rFonts w:ascii="Arial" w:hAnsi="Arial" w:cs="Arial"/>
                <w:color w:val="auto"/>
                <w:sz w:val="22"/>
                <w:szCs w:val="22"/>
              </w:rPr>
              <w:t xml:space="preserve">Nacionalna služba </w:t>
            </w:r>
            <w:r w:rsidR="006724DE" w:rsidRPr="00E85451">
              <w:rPr>
                <w:rFonts w:ascii="Arial" w:hAnsi="Arial" w:cs="Arial"/>
                <w:color w:val="auto"/>
                <w:sz w:val="22"/>
                <w:szCs w:val="22"/>
              </w:rPr>
              <w:t>z</w:t>
            </w:r>
            <w:r w:rsidRPr="00E85451">
              <w:rPr>
                <w:rFonts w:ascii="Arial" w:hAnsi="Arial" w:cs="Arial"/>
                <w:color w:val="auto"/>
                <w:sz w:val="22"/>
                <w:szCs w:val="22"/>
              </w:rPr>
              <w:t>a podršku eTwinningu organizirala je 5 regionalnih treninga za početnike na eTwinningu. U suradnji s CARNetom, eTwinning radionica održana je 19. studenog u sklopu CARNetove korisničke konferencije CUC 2014 u Zagrebu. Nacionalna eTwinning konferencija održana je 14. studenog u Zagrebu za 100 sudionika. Poseban natječaj za učenike pod nazivom „Pokusi i formule na digitalni način“ organiziran je u svrhu promidžbe eTwinninga u učenju prirodnih, tehničkih znanosti i matematike. 524 sudionika sudjelovalo je na zajedničkim Erasmus+ i eTwinning prezentacijama u sklopu Županijskih stručnih vijeća, Učiteljskih vijeća, te ostalih događanja.</w:t>
            </w:r>
          </w:p>
        </w:tc>
      </w:tr>
      <w:tr w:rsidR="00E85451" w:rsidRPr="00E85451">
        <w:tc>
          <w:tcPr>
            <w:tcW w:w="1560" w:type="dxa"/>
            <w:tcMar>
              <w:top w:w="88" w:type="dxa"/>
              <w:left w:w="88" w:type="dxa"/>
              <w:bottom w:w="88" w:type="dxa"/>
              <w:right w:w="88" w:type="dxa"/>
            </w:tcMar>
          </w:tcPr>
          <w:p w:rsidR="000A06B1" w:rsidRPr="00E85451" w:rsidRDefault="000A06B1">
            <w:pPr>
              <w:ind w:right="-8"/>
              <w:jc w:val="both"/>
              <w:rPr>
                <w:rFonts w:ascii="Arial" w:eastAsia="Arial" w:hAnsi="Arial" w:cs="Arial"/>
                <w:color w:val="auto"/>
                <w:sz w:val="22"/>
                <w:szCs w:val="22"/>
              </w:rPr>
            </w:pPr>
          </w:p>
          <w:p w:rsidR="000F3799" w:rsidRPr="00E85451" w:rsidRDefault="00923EE2">
            <w:pPr>
              <w:ind w:right="-8"/>
              <w:jc w:val="both"/>
              <w:rPr>
                <w:rFonts w:ascii="Arial" w:hAnsi="Arial" w:cs="Arial"/>
                <w:color w:val="auto"/>
                <w:sz w:val="22"/>
                <w:szCs w:val="22"/>
              </w:rPr>
            </w:pPr>
            <w:r w:rsidRPr="00E85451">
              <w:rPr>
                <w:rFonts w:ascii="Arial" w:eastAsia="Arial" w:hAnsi="Arial" w:cs="Arial"/>
                <w:color w:val="auto"/>
                <w:sz w:val="22"/>
                <w:szCs w:val="22"/>
              </w:rPr>
              <w:t>Informativni materijali</w:t>
            </w:r>
          </w:p>
        </w:tc>
        <w:tc>
          <w:tcPr>
            <w:tcW w:w="8017" w:type="dxa"/>
            <w:tcMar>
              <w:top w:w="88" w:type="dxa"/>
              <w:left w:w="88" w:type="dxa"/>
              <w:bottom w:w="88" w:type="dxa"/>
              <w:right w:w="88" w:type="dxa"/>
            </w:tcMar>
          </w:tcPr>
          <w:p w:rsidR="000A06B1" w:rsidRPr="00E85451" w:rsidRDefault="000A06B1" w:rsidP="000A06B1">
            <w:pPr>
              <w:ind w:right="-8"/>
              <w:rPr>
                <w:rFonts w:ascii="Arial" w:eastAsia="Arial" w:hAnsi="Arial" w:cs="Arial"/>
                <w:b/>
                <w:color w:val="auto"/>
                <w:sz w:val="22"/>
                <w:szCs w:val="22"/>
              </w:rPr>
            </w:pPr>
            <w:r w:rsidRPr="00E85451">
              <w:rPr>
                <w:rFonts w:ascii="Arial" w:eastAsia="Arial" w:hAnsi="Arial" w:cs="Arial"/>
                <w:b/>
                <w:color w:val="auto"/>
                <w:sz w:val="22"/>
                <w:szCs w:val="22"/>
              </w:rPr>
              <w:t>Europass</w:t>
            </w:r>
          </w:p>
          <w:p w:rsidR="000A06B1" w:rsidRPr="00E85451" w:rsidRDefault="000A06B1" w:rsidP="000A06B1">
            <w:pPr>
              <w:ind w:right="-8"/>
              <w:rPr>
                <w:rFonts w:ascii="Arial" w:eastAsia="Arial" w:hAnsi="Arial" w:cs="Arial"/>
                <w:color w:val="auto"/>
                <w:sz w:val="22"/>
                <w:szCs w:val="22"/>
              </w:rPr>
            </w:pPr>
            <w:r w:rsidRPr="00E85451">
              <w:rPr>
                <w:rFonts w:ascii="Arial" w:eastAsia="Arial" w:hAnsi="Arial" w:cs="Arial"/>
                <w:color w:val="auto"/>
                <w:sz w:val="22"/>
                <w:szCs w:val="22"/>
              </w:rPr>
              <w:t>- elektronička knjižica s uspješnim pričama o primjeni dokumenata Europass proizišla iz suradnje nacionalnih Europass centara okupljenih u Srednjoeuropskoj radnoj skupini (uključuju Austriju, Češku, Hrvatsku, Italiju, Mađarsku, Poljsku i Sloveniju),</w:t>
            </w:r>
          </w:p>
          <w:p w:rsidR="000A06B1" w:rsidRPr="00E85451" w:rsidRDefault="000A06B1" w:rsidP="000A06B1">
            <w:pPr>
              <w:ind w:right="-8"/>
              <w:rPr>
                <w:rFonts w:ascii="Arial" w:eastAsia="Arial" w:hAnsi="Arial" w:cs="Arial"/>
                <w:color w:val="auto"/>
                <w:sz w:val="22"/>
                <w:szCs w:val="22"/>
              </w:rPr>
            </w:pPr>
            <w:r w:rsidRPr="00E85451">
              <w:rPr>
                <w:rFonts w:ascii="Arial" w:eastAsia="Arial" w:hAnsi="Arial" w:cs="Arial"/>
                <w:color w:val="auto"/>
                <w:sz w:val="22"/>
                <w:szCs w:val="22"/>
              </w:rPr>
              <w:t xml:space="preserve">- knjižica o Europass mobilnosti, </w:t>
            </w:r>
          </w:p>
          <w:p w:rsidR="000A06B1" w:rsidRPr="00E85451" w:rsidRDefault="000A06B1" w:rsidP="000A06B1">
            <w:pPr>
              <w:ind w:right="-8"/>
              <w:rPr>
                <w:rFonts w:ascii="Arial" w:eastAsia="Arial" w:hAnsi="Arial" w:cs="Arial"/>
                <w:color w:val="auto"/>
                <w:sz w:val="22"/>
                <w:szCs w:val="22"/>
              </w:rPr>
            </w:pPr>
            <w:r w:rsidRPr="00E85451">
              <w:rPr>
                <w:rFonts w:ascii="Arial" w:eastAsia="Arial" w:hAnsi="Arial" w:cs="Arial"/>
                <w:color w:val="auto"/>
                <w:sz w:val="22"/>
                <w:szCs w:val="22"/>
              </w:rPr>
              <w:t>- rokovnik,</w:t>
            </w:r>
          </w:p>
          <w:p w:rsidR="000A06B1" w:rsidRPr="00E85451" w:rsidRDefault="000A06B1" w:rsidP="000A06B1">
            <w:pPr>
              <w:ind w:right="-8"/>
              <w:rPr>
                <w:rFonts w:ascii="Arial" w:eastAsia="Arial" w:hAnsi="Arial" w:cs="Arial"/>
                <w:color w:val="auto"/>
                <w:sz w:val="22"/>
                <w:szCs w:val="22"/>
              </w:rPr>
            </w:pPr>
            <w:r w:rsidRPr="00E85451">
              <w:rPr>
                <w:rFonts w:ascii="Arial" w:eastAsia="Arial" w:hAnsi="Arial" w:cs="Arial"/>
                <w:color w:val="auto"/>
                <w:sz w:val="22"/>
                <w:szCs w:val="22"/>
              </w:rPr>
              <w:t xml:space="preserve">- </w:t>
            </w:r>
            <w:r w:rsidR="00AE0D8E">
              <w:rPr>
                <w:rFonts w:ascii="Arial" w:eastAsia="Arial" w:hAnsi="Arial" w:cs="Arial"/>
                <w:color w:val="auto"/>
                <w:sz w:val="22"/>
                <w:szCs w:val="22"/>
              </w:rPr>
              <w:t>USB narukvica</w:t>
            </w:r>
            <w:r w:rsidRPr="00E85451">
              <w:rPr>
                <w:rFonts w:ascii="Arial" w:eastAsia="Arial" w:hAnsi="Arial" w:cs="Arial"/>
                <w:color w:val="auto"/>
                <w:sz w:val="22"/>
                <w:szCs w:val="22"/>
              </w:rPr>
              <w:t>,</w:t>
            </w:r>
          </w:p>
          <w:p w:rsidR="000A06B1" w:rsidRPr="00E85451" w:rsidRDefault="000A06B1" w:rsidP="000A06B1">
            <w:pPr>
              <w:ind w:right="-8"/>
              <w:rPr>
                <w:rFonts w:ascii="Arial" w:eastAsia="Arial" w:hAnsi="Arial" w:cs="Arial"/>
                <w:color w:val="auto"/>
                <w:sz w:val="22"/>
                <w:szCs w:val="22"/>
              </w:rPr>
            </w:pPr>
            <w:r w:rsidRPr="00E85451">
              <w:rPr>
                <w:rFonts w:ascii="Arial" w:eastAsia="Arial" w:hAnsi="Arial" w:cs="Arial"/>
                <w:color w:val="auto"/>
                <w:sz w:val="22"/>
                <w:szCs w:val="22"/>
              </w:rPr>
              <w:t>- papirnata mapa,</w:t>
            </w:r>
          </w:p>
          <w:p w:rsidR="000A06B1" w:rsidRPr="00E85451" w:rsidRDefault="000A06B1" w:rsidP="000A06B1">
            <w:pPr>
              <w:ind w:right="-8"/>
              <w:rPr>
                <w:rFonts w:ascii="Arial" w:eastAsia="Arial" w:hAnsi="Arial" w:cs="Arial"/>
                <w:color w:val="auto"/>
                <w:sz w:val="22"/>
                <w:szCs w:val="22"/>
              </w:rPr>
            </w:pPr>
            <w:r w:rsidRPr="00E85451">
              <w:rPr>
                <w:rFonts w:ascii="Arial" w:eastAsia="Arial" w:hAnsi="Arial" w:cs="Arial"/>
                <w:color w:val="auto"/>
                <w:sz w:val="22"/>
                <w:szCs w:val="22"/>
              </w:rPr>
              <w:t>- poster na stalku,</w:t>
            </w:r>
          </w:p>
          <w:p w:rsidR="000A06B1" w:rsidRPr="00E85451" w:rsidRDefault="000A06B1" w:rsidP="000A06B1">
            <w:pPr>
              <w:ind w:right="-8"/>
              <w:rPr>
                <w:rFonts w:ascii="Arial" w:eastAsia="Arial" w:hAnsi="Arial" w:cs="Arial"/>
                <w:color w:val="auto"/>
                <w:sz w:val="22"/>
                <w:szCs w:val="22"/>
              </w:rPr>
            </w:pPr>
            <w:r w:rsidRPr="00E85451">
              <w:rPr>
                <w:rFonts w:ascii="Arial" w:eastAsia="Arial" w:hAnsi="Arial" w:cs="Arial"/>
                <w:color w:val="auto"/>
                <w:sz w:val="22"/>
                <w:szCs w:val="22"/>
              </w:rPr>
              <w:t>- kišobran,</w:t>
            </w:r>
          </w:p>
          <w:p w:rsidR="000A06B1" w:rsidRPr="00E85451" w:rsidRDefault="000A06B1" w:rsidP="000A06B1">
            <w:pPr>
              <w:ind w:right="-8"/>
              <w:rPr>
                <w:rFonts w:ascii="Arial" w:eastAsia="Arial" w:hAnsi="Arial" w:cs="Arial"/>
                <w:color w:val="auto"/>
                <w:sz w:val="22"/>
                <w:szCs w:val="22"/>
              </w:rPr>
            </w:pPr>
            <w:r w:rsidRPr="00E85451">
              <w:rPr>
                <w:rFonts w:ascii="Arial" w:eastAsia="Arial" w:hAnsi="Arial" w:cs="Arial"/>
                <w:color w:val="auto"/>
                <w:sz w:val="22"/>
                <w:szCs w:val="22"/>
              </w:rPr>
              <w:lastRenderedPageBreak/>
              <w:t>- BPA</w:t>
            </w:r>
            <w:r w:rsidR="00AE0D8E">
              <w:rPr>
                <w:rFonts w:ascii="Arial" w:eastAsia="Arial" w:hAnsi="Arial" w:cs="Arial"/>
                <w:color w:val="auto"/>
                <w:sz w:val="22"/>
                <w:szCs w:val="22"/>
              </w:rPr>
              <w:t xml:space="preserve"> boca</w:t>
            </w:r>
            <w:r w:rsidRPr="00E85451">
              <w:rPr>
                <w:rFonts w:ascii="Arial" w:eastAsia="Arial" w:hAnsi="Arial" w:cs="Arial"/>
                <w:color w:val="auto"/>
                <w:sz w:val="22"/>
                <w:szCs w:val="22"/>
              </w:rPr>
              <w:t>,</w:t>
            </w:r>
          </w:p>
          <w:p w:rsidR="000A06B1" w:rsidRPr="00E85451" w:rsidRDefault="000A06B1" w:rsidP="000A06B1">
            <w:pPr>
              <w:ind w:right="-8"/>
              <w:rPr>
                <w:rFonts w:ascii="Arial" w:eastAsia="Arial" w:hAnsi="Arial" w:cs="Arial"/>
                <w:color w:val="auto"/>
                <w:sz w:val="22"/>
                <w:szCs w:val="22"/>
              </w:rPr>
            </w:pPr>
            <w:r w:rsidRPr="00E85451">
              <w:rPr>
                <w:rFonts w:ascii="Arial" w:eastAsia="Arial" w:hAnsi="Arial" w:cs="Arial"/>
                <w:color w:val="auto"/>
                <w:sz w:val="22"/>
                <w:szCs w:val="22"/>
              </w:rPr>
              <w:t>- samoljepljivi blok.</w:t>
            </w:r>
          </w:p>
          <w:p w:rsidR="000A06B1" w:rsidRPr="00E85451" w:rsidRDefault="000A06B1" w:rsidP="00762154">
            <w:pPr>
              <w:ind w:right="-8"/>
              <w:rPr>
                <w:rFonts w:ascii="Arial" w:eastAsia="Arial" w:hAnsi="Arial" w:cs="Arial"/>
                <w:color w:val="auto"/>
                <w:sz w:val="22"/>
                <w:szCs w:val="22"/>
                <w:highlight w:val="yellow"/>
              </w:rPr>
            </w:pPr>
          </w:p>
          <w:p w:rsidR="00AC2AE5" w:rsidRPr="00E85451" w:rsidRDefault="00762154" w:rsidP="00AC2AE5">
            <w:pPr>
              <w:rPr>
                <w:rFonts w:ascii="Arial" w:eastAsia="Arial" w:hAnsi="Arial" w:cs="Arial"/>
                <w:b/>
                <w:color w:val="auto"/>
                <w:sz w:val="22"/>
                <w:szCs w:val="22"/>
              </w:rPr>
            </w:pPr>
            <w:r w:rsidRPr="00E85451">
              <w:rPr>
                <w:rFonts w:ascii="Arial" w:eastAsia="Arial" w:hAnsi="Arial" w:cs="Arial"/>
                <w:b/>
                <w:color w:val="auto"/>
                <w:sz w:val="22"/>
                <w:szCs w:val="22"/>
              </w:rPr>
              <w:t>Euroguidance</w:t>
            </w:r>
          </w:p>
          <w:p w:rsidR="00AC2AE5" w:rsidRPr="00E85451" w:rsidRDefault="0082462A" w:rsidP="0082462A">
            <w:pPr>
              <w:rPr>
                <w:rFonts w:ascii="Arial" w:eastAsia="Arial" w:hAnsi="Arial" w:cs="Arial"/>
                <w:color w:val="auto"/>
                <w:sz w:val="22"/>
                <w:szCs w:val="22"/>
              </w:rPr>
            </w:pPr>
            <w:r w:rsidRPr="00E85451">
              <w:rPr>
                <w:rFonts w:ascii="Arial" w:eastAsia="Arial" w:hAnsi="Arial" w:cs="Arial"/>
                <w:color w:val="auto"/>
                <w:sz w:val="22"/>
                <w:szCs w:val="22"/>
              </w:rPr>
              <w:t xml:space="preserve">- </w:t>
            </w:r>
            <w:r w:rsidR="00AC2AE5" w:rsidRPr="00E85451">
              <w:rPr>
                <w:rFonts w:ascii="Arial" w:eastAsia="Arial" w:hAnsi="Arial" w:cs="Arial"/>
                <w:color w:val="auto"/>
                <w:sz w:val="22"/>
                <w:szCs w:val="22"/>
              </w:rPr>
              <w:t>Letak: „Program Erasmus+ za savjetnike“</w:t>
            </w:r>
          </w:p>
          <w:p w:rsidR="00AC2AE5" w:rsidRPr="00E85451" w:rsidRDefault="0082462A" w:rsidP="0082462A">
            <w:pPr>
              <w:ind w:right="-8"/>
              <w:rPr>
                <w:rFonts w:ascii="Arial" w:eastAsia="Arial" w:hAnsi="Arial" w:cs="Arial"/>
                <w:color w:val="auto"/>
                <w:sz w:val="22"/>
                <w:szCs w:val="22"/>
              </w:rPr>
            </w:pPr>
            <w:r w:rsidRPr="00E85451">
              <w:rPr>
                <w:rFonts w:ascii="Arial" w:eastAsia="Arial" w:hAnsi="Arial" w:cs="Arial"/>
                <w:color w:val="auto"/>
                <w:sz w:val="22"/>
                <w:szCs w:val="22"/>
              </w:rPr>
              <w:t xml:space="preserve">- </w:t>
            </w:r>
            <w:r w:rsidR="00AC2AE5" w:rsidRPr="00E85451">
              <w:rPr>
                <w:rFonts w:ascii="Arial" w:eastAsia="Arial" w:hAnsi="Arial" w:cs="Arial"/>
                <w:color w:val="auto"/>
                <w:sz w:val="22"/>
                <w:szCs w:val="22"/>
              </w:rPr>
              <w:t>Zbornik s Prekograničnog seminara</w:t>
            </w:r>
          </w:p>
          <w:p w:rsidR="00AE11B4" w:rsidRPr="00E85451" w:rsidRDefault="00AE11B4" w:rsidP="00762154">
            <w:pPr>
              <w:ind w:right="-8"/>
              <w:rPr>
                <w:rFonts w:ascii="Arial" w:eastAsia="Arial" w:hAnsi="Arial" w:cs="Arial"/>
                <w:color w:val="auto"/>
                <w:sz w:val="22"/>
                <w:szCs w:val="22"/>
                <w:highlight w:val="yellow"/>
              </w:rPr>
            </w:pPr>
          </w:p>
          <w:p w:rsidR="00AE11B4" w:rsidRPr="00E85451" w:rsidRDefault="008C2AC4" w:rsidP="00762154">
            <w:pPr>
              <w:ind w:right="-8"/>
              <w:rPr>
                <w:rFonts w:ascii="Arial" w:eastAsia="Arial" w:hAnsi="Arial" w:cs="Arial"/>
                <w:b/>
                <w:color w:val="auto"/>
                <w:sz w:val="22"/>
                <w:szCs w:val="22"/>
              </w:rPr>
            </w:pPr>
            <w:r w:rsidRPr="00E85451">
              <w:rPr>
                <w:rFonts w:ascii="Arial" w:eastAsia="Arial" w:hAnsi="Arial" w:cs="Arial"/>
                <w:b/>
                <w:color w:val="auto"/>
                <w:sz w:val="22"/>
                <w:szCs w:val="22"/>
              </w:rPr>
              <w:t>eTwinning</w:t>
            </w:r>
          </w:p>
          <w:p w:rsidR="00CF45B4" w:rsidRPr="00E85451" w:rsidRDefault="00CF45B4" w:rsidP="00CF45B4">
            <w:pPr>
              <w:ind w:right="-8"/>
              <w:rPr>
                <w:rFonts w:ascii="Arial" w:eastAsia="Arial" w:hAnsi="Arial" w:cs="Arial"/>
                <w:color w:val="auto"/>
                <w:sz w:val="22"/>
                <w:szCs w:val="22"/>
              </w:rPr>
            </w:pPr>
            <w:r w:rsidRPr="00E85451">
              <w:rPr>
                <w:rFonts w:ascii="Arial" w:eastAsia="Arial" w:hAnsi="Arial" w:cs="Arial"/>
                <w:color w:val="auto"/>
                <w:sz w:val="22"/>
                <w:szCs w:val="22"/>
              </w:rPr>
              <w:t>- eTwinning letak</w:t>
            </w:r>
          </w:p>
          <w:p w:rsidR="00CF45B4" w:rsidRPr="00E85451" w:rsidRDefault="00CF45B4" w:rsidP="00CF45B4">
            <w:pPr>
              <w:ind w:right="-8"/>
              <w:rPr>
                <w:rFonts w:ascii="Arial" w:eastAsia="Arial" w:hAnsi="Arial" w:cs="Arial"/>
                <w:color w:val="auto"/>
                <w:sz w:val="22"/>
                <w:szCs w:val="22"/>
              </w:rPr>
            </w:pPr>
            <w:r w:rsidRPr="00E85451">
              <w:rPr>
                <w:rFonts w:ascii="Arial" w:eastAsia="Arial" w:hAnsi="Arial" w:cs="Arial"/>
                <w:color w:val="auto"/>
                <w:sz w:val="22"/>
                <w:szCs w:val="22"/>
              </w:rPr>
              <w:t>- BPA boca</w:t>
            </w:r>
          </w:p>
          <w:p w:rsidR="00CF45B4" w:rsidRPr="00E85451" w:rsidRDefault="00CF45B4" w:rsidP="00CF45B4">
            <w:pPr>
              <w:ind w:right="-8"/>
              <w:rPr>
                <w:rFonts w:ascii="Arial" w:eastAsia="Arial" w:hAnsi="Arial" w:cs="Arial"/>
                <w:color w:val="auto"/>
                <w:sz w:val="22"/>
                <w:szCs w:val="22"/>
              </w:rPr>
            </w:pPr>
            <w:r w:rsidRPr="00E85451">
              <w:rPr>
                <w:rFonts w:ascii="Arial" w:eastAsia="Arial" w:hAnsi="Arial" w:cs="Arial"/>
                <w:color w:val="auto"/>
                <w:sz w:val="22"/>
                <w:szCs w:val="22"/>
              </w:rPr>
              <w:t>- USB narukvica</w:t>
            </w:r>
          </w:p>
          <w:p w:rsidR="00CF45B4" w:rsidRPr="00E85451" w:rsidRDefault="00CF45B4" w:rsidP="00CF45B4">
            <w:pPr>
              <w:ind w:right="-8"/>
              <w:rPr>
                <w:rFonts w:ascii="Arial" w:eastAsia="Arial" w:hAnsi="Arial" w:cs="Arial"/>
                <w:color w:val="auto"/>
                <w:sz w:val="22"/>
                <w:szCs w:val="22"/>
              </w:rPr>
            </w:pPr>
            <w:r w:rsidRPr="00E85451">
              <w:rPr>
                <w:rFonts w:ascii="Arial" w:eastAsia="Arial" w:hAnsi="Arial" w:cs="Arial"/>
                <w:color w:val="auto"/>
                <w:sz w:val="22"/>
                <w:szCs w:val="22"/>
              </w:rPr>
              <w:t>- platnena vrećica</w:t>
            </w:r>
          </w:p>
          <w:p w:rsidR="00CF45B4" w:rsidRPr="00E85451" w:rsidRDefault="00CF45B4" w:rsidP="00CF45B4">
            <w:pPr>
              <w:ind w:right="-8"/>
              <w:rPr>
                <w:rFonts w:ascii="Arial" w:eastAsia="Arial" w:hAnsi="Arial" w:cs="Arial"/>
                <w:color w:val="auto"/>
                <w:sz w:val="22"/>
                <w:szCs w:val="22"/>
              </w:rPr>
            </w:pPr>
            <w:r w:rsidRPr="00E85451">
              <w:rPr>
                <w:rFonts w:ascii="Arial" w:eastAsia="Arial" w:hAnsi="Arial" w:cs="Arial"/>
                <w:color w:val="auto"/>
                <w:sz w:val="22"/>
                <w:szCs w:val="22"/>
              </w:rPr>
              <w:t>- rokovnik</w:t>
            </w:r>
          </w:p>
          <w:p w:rsidR="00CF45B4" w:rsidRPr="00E85451" w:rsidRDefault="00CF45B4" w:rsidP="00CF45B4">
            <w:pPr>
              <w:ind w:right="-8"/>
              <w:rPr>
                <w:rFonts w:ascii="Arial" w:eastAsia="Arial" w:hAnsi="Arial" w:cs="Arial"/>
                <w:color w:val="auto"/>
                <w:sz w:val="22"/>
                <w:szCs w:val="22"/>
              </w:rPr>
            </w:pPr>
            <w:r w:rsidRPr="00E85451">
              <w:rPr>
                <w:rFonts w:ascii="Arial" w:eastAsia="Arial" w:hAnsi="Arial" w:cs="Arial"/>
                <w:color w:val="auto"/>
                <w:sz w:val="22"/>
                <w:szCs w:val="22"/>
              </w:rPr>
              <w:t>- post-it blok</w:t>
            </w:r>
          </w:p>
          <w:p w:rsidR="00CF45B4" w:rsidRPr="00E85451" w:rsidRDefault="00CF45B4" w:rsidP="00CF45B4">
            <w:pPr>
              <w:ind w:right="-8"/>
              <w:rPr>
                <w:rFonts w:ascii="Arial" w:eastAsia="Arial" w:hAnsi="Arial" w:cs="Arial"/>
                <w:color w:val="auto"/>
                <w:sz w:val="22"/>
                <w:szCs w:val="22"/>
              </w:rPr>
            </w:pPr>
            <w:r w:rsidRPr="00E85451">
              <w:rPr>
                <w:rFonts w:ascii="Arial" w:eastAsia="Arial" w:hAnsi="Arial" w:cs="Arial"/>
                <w:color w:val="auto"/>
                <w:sz w:val="22"/>
                <w:szCs w:val="22"/>
              </w:rPr>
              <w:t>- fascikl</w:t>
            </w:r>
          </w:p>
          <w:p w:rsidR="000F3799" w:rsidRPr="00E85451" w:rsidRDefault="00CF45B4" w:rsidP="0082462A">
            <w:pPr>
              <w:ind w:right="-8"/>
              <w:rPr>
                <w:rFonts w:ascii="Arial" w:eastAsia="Arial" w:hAnsi="Arial" w:cs="Arial"/>
                <w:color w:val="auto"/>
                <w:sz w:val="22"/>
                <w:szCs w:val="22"/>
              </w:rPr>
            </w:pPr>
            <w:r w:rsidRPr="00E85451">
              <w:rPr>
                <w:rFonts w:ascii="Arial" w:eastAsia="Arial" w:hAnsi="Arial" w:cs="Arial"/>
                <w:color w:val="auto"/>
                <w:sz w:val="22"/>
                <w:szCs w:val="22"/>
              </w:rPr>
              <w:t>- kišobran</w:t>
            </w:r>
          </w:p>
          <w:p w:rsidR="00E742C6" w:rsidRPr="00E85451" w:rsidRDefault="00E742C6" w:rsidP="0082462A">
            <w:pPr>
              <w:ind w:right="-8"/>
              <w:rPr>
                <w:rFonts w:ascii="Arial" w:eastAsia="Arial" w:hAnsi="Arial" w:cs="Arial"/>
                <w:color w:val="auto"/>
                <w:sz w:val="22"/>
                <w:szCs w:val="22"/>
              </w:rPr>
            </w:pPr>
          </w:p>
        </w:tc>
      </w:tr>
    </w:tbl>
    <w:p w:rsidR="000F3799" w:rsidRPr="00E85451" w:rsidRDefault="000F3799">
      <w:pPr>
        <w:ind w:right="-8"/>
        <w:jc w:val="both"/>
        <w:rPr>
          <w:rFonts w:ascii="Arial" w:hAnsi="Arial" w:cs="Arial"/>
          <w:color w:val="auto"/>
          <w:sz w:val="22"/>
          <w:szCs w:val="22"/>
        </w:rPr>
      </w:pPr>
    </w:p>
    <w:p w:rsidR="000F3799" w:rsidRPr="00E85451" w:rsidRDefault="000F3799">
      <w:pPr>
        <w:rPr>
          <w:rFonts w:ascii="Arial" w:hAnsi="Arial" w:cs="Arial"/>
          <w:color w:val="auto"/>
          <w:sz w:val="22"/>
          <w:szCs w:val="22"/>
        </w:rPr>
      </w:pPr>
      <w:bookmarkStart w:id="20" w:name="h.3rdcrjn" w:colFirst="0" w:colLast="0"/>
      <w:bookmarkEnd w:id="20"/>
    </w:p>
    <w:tbl>
      <w:tblPr>
        <w:tblW w:w="10207" w:type="dxa"/>
        <w:tblInd w:w="-34" w:type="dxa"/>
        <w:tblLayout w:type="fixed"/>
        <w:tblLook w:val="04A0" w:firstRow="1" w:lastRow="0" w:firstColumn="1" w:lastColumn="0" w:noHBand="0" w:noVBand="1"/>
      </w:tblPr>
      <w:tblGrid>
        <w:gridCol w:w="1575"/>
        <w:gridCol w:w="1984"/>
        <w:gridCol w:w="1843"/>
        <w:gridCol w:w="1559"/>
        <w:gridCol w:w="1701"/>
        <w:gridCol w:w="1545"/>
      </w:tblGrid>
      <w:tr w:rsidR="00E85451" w:rsidRPr="00E85451" w:rsidTr="00301C6D">
        <w:trPr>
          <w:trHeight w:val="795"/>
        </w:trPr>
        <w:tc>
          <w:tcPr>
            <w:tcW w:w="15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2F61" w:rsidRPr="00E85451" w:rsidRDefault="00B72F61" w:rsidP="00B72F61">
            <w:pPr>
              <w:widowControl/>
              <w:jc w:val="center"/>
              <w:rPr>
                <w:rFonts w:ascii="Arial" w:hAnsi="Arial" w:cs="Arial"/>
                <w:b/>
                <w:bCs/>
                <w:color w:val="auto"/>
                <w:sz w:val="22"/>
                <w:szCs w:val="22"/>
              </w:rPr>
            </w:pPr>
            <w:bookmarkStart w:id="21" w:name="h.26in1rg" w:colFirst="0" w:colLast="0"/>
            <w:bookmarkEnd w:id="21"/>
            <w:r w:rsidRPr="00E85451">
              <w:rPr>
                <w:rFonts w:ascii="Arial" w:hAnsi="Arial" w:cs="Arial"/>
                <w:b/>
                <w:bCs/>
                <w:color w:val="auto"/>
                <w:sz w:val="22"/>
                <w:szCs w:val="22"/>
              </w:rPr>
              <w:t>PROGRAM</w:t>
            </w:r>
          </w:p>
        </w:tc>
        <w:tc>
          <w:tcPr>
            <w:tcW w:w="1984" w:type="dxa"/>
            <w:tcBorders>
              <w:top w:val="single" w:sz="8" w:space="0" w:color="auto"/>
              <w:left w:val="nil"/>
              <w:bottom w:val="single" w:sz="8" w:space="0" w:color="auto"/>
              <w:right w:val="single" w:sz="4" w:space="0" w:color="auto"/>
            </w:tcBorders>
            <w:shd w:val="clear" w:color="000000" w:fill="FFFFFF"/>
            <w:vAlign w:val="center"/>
            <w:hideMark/>
          </w:tcPr>
          <w:p w:rsidR="00B72F61" w:rsidRPr="00E85451" w:rsidRDefault="00B72F61" w:rsidP="00B72F61">
            <w:pPr>
              <w:widowControl/>
              <w:jc w:val="center"/>
              <w:rPr>
                <w:rFonts w:ascii="Arial" w:hAnsi="Arial" w:cs="Arial"/>
                <w:b/>
                <w:bCs/>
                <w:color w:val="auto"/>
                <w:sz w:val="22"/>
                <w:szCs w:val="22"/>
              </w:rPr>
            </w:pPr>
            <w:r w:rsidRPr="00E85451">
              <w:rPr>
                <w:rFonts w:ascii="Arial" w:hAnsi="Arial" w:cs="Arial"/>
                <w:b/>
                <w:bCs/>
                <w:color w:val="auto"/>
                <w:sz w:val="22"/>
                <w:szCs w:val="22"/>
              </w:rPr>
              <w:t>IZVOR FINANCIRANJA</w:t>
            </w:r>
          </w:p>
        </w:tc>
        <w:tc>
          <w:tcPr>
            <w:tcW w:w="1843" w:type="dxa"/>
            <w:tcBorders>
              <w:top w:val="single" w:sz="8" w:space="0" w:color="auto"/>
              <w:left w:val="nil"/>
              <w:bottom w:val="single" w:sz="8" w:space="0" w:color="auto"/>
              <w:right w:val="single" w:sz="4" w:space="0" w:color="auto"/>
            </w:tcBorders>
            <w:shd w:val="clear" w:color="000000" w:fill="FFFFFF"/>
            <w:vAlign w:val="center"/>
            <w:hideMark/>
          </w:tcPr>
          <w:p w:rsidR="00B72F61" w:rsidRPr="00E85451" w:rsidRDefault="00B72F61" w:rsidP="00B72F61">
            <w:pPr>
              <w:widowControl/>
              <w:jc w:val="center"/>
              <w:rPr>
                <w:rFonts w:ascii="Arial" w:hAnsi="Arial" w:cs="Arial"/>
                <w:b/>
                <w:bCs/>
                <w:color w:val="auto"/>
                <w:sz w:val="22"/>
                <w:szCs w:val="22"/>
              </w:rPr>
            </w:pPr>
            <w:r w:rsidRPr="00E85451">
              <w:rPr>
                <w:rFonts w:ascii="Arial" w:hAnsi="Arial" w:cs="Arial"/>
                <w:b/>
                <w:bCs/>
                <w:color w:val="auto"/>
                <w:sz w:val="22"/>
                <w:szCs w:val="22"/>
              </w:rPr>
              <w:t>POSTOTAK SUFINANCIRANJA</w:t>
            </w:r>
          </w:p>
        </w:tc>
        <w:tc>
          <w:tcPr>
            <w:tcW w:w="1559" w:type="dxa"/>
            <w:tcBorders>
              <w:top w:val="single" w:sz="8" w:space="0" w:color="auto"/>
              <w:left w:val="nil"/>
              <w:bottom w:val="single" w:sz="8" w:space="0" w:color="auto"/>
              <w:right w:val="single" w:sz="4" w:space="0" w:color="auto"/>
            </w:tcBorders>
            <w:shd w:val="clear" w:color="000000" w:fill="FFFFFF"/>
            <w:vAlign w:val="center"/>
            <w:hideMark/>
          </w:tcPr>
          <w:p w:rsidR="00B72F61" w:rsidRPr="00E85451" w:rsidRDefault="00B72F61" w:rsidP="00B72F61">
            <w:pPr>
              <w:widowControl/>
              <w:jc w:val="center"/>
              <w:rPr>
                <w:rFonts w:ascii="Arial" w:hAnsi="Arial" w:cs="Arial"/>
                <w:b/>
                <w:bCs/>
                <w:color w:val="auto"/>
                <w:sz w:val="22"/>
                <w:szCs w:val="22"/>
              </w:rPr>
            </w:pPr>
            <w:r w:rsidRPr="00E85451">
              <w:rPr>
                <w:rFonts w:ascii="Arial" w:hAnsi="Arial" w:cs="Arial"/>
                <w:b/>
                <w:bCs/>
                <w:color w:val="auto"/>
                <w:sz w:val="22"/>
                <w:szCs w:val="22"/>
              </w:rPr>
              <w:t>UGOVORENI IZNOS 2014.</w:t>
            </w:r>
          </w:p>
        </w:tc>
        <w:tc>
          <w:tcPr>
            <w:tcW w:w="1701" w:type="dxa"/>
            <w:tcBorders>
              <w:top w:val="single" w:sz="8" w:space="0" w:color="auto"/>
              <w:left w:val="nil"/>
              <w:bottom w:val="single" w:sz="8" w:space="0" w:color="auto"/>
              <w:right w:val="nil"/>
            </w:tcBorders>
            <w:shd w:val="clear" w:color="000000" w:fill="FFFFFF"/>
            <w:vAlign w:val="center"/>
            <w:hideMark/>
          </w:tcPr>
          <w:p w:rsidR="00B72F61" w:rsidRPr="00E85451" w:rsidRDefault="00B72F61" w:rsidP="00B72F61">
            <w:pPr>
              <w:widowControl/>
              <w:jc w:val="center"/>
              <w:rPr>
                <w:rFonts w:ascii="Arial" w:hAnsi="Arial" w:cs="Arial"/>
                <w:b/>
                <w:bCs/>
                <w:color w:val="auto"/>
                <w:sz w:val="22"/>
                <w:szCs w:val="22"/>
              </w:rPr>
            </w:pPr>
            <w:r w:rsidRPr="00E85451">
              <w:rPr>
                <w:rFonts w:ascii="Arial" w:hAnsi="Arial" w:cs="Arial"/>
                <w:b/>
                <w:bCs/>
                <w:color w:val="auto"/>
                <w:sz w:val="22"/>
                <w:szCs w:val="22"/>
              </w:rPr>
              <w:t>POTROŠNJA 2014.</w:t>
            </w:r>
          </w:p>
        </w:tc>
        <w:tc>
          <w:tcPr>
            <w:tcW w:w="1545"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72F61" w:rsidRPr="00E85451" w:rsidRDefault="00B72F61" w:rsidP="00B72F61">
            <w:pPr>
              <w:widowControl/>
              <w:jc w:val="center"/>
              <w:rPr>
                <w:rFonts w:ascii="Arial" w:hAnsi="Arial" w:cs="Arial"/>
                <w:b/>
                <w:bCs/>
                <w:color w:val="auto"/>
                <w:sz w:val="22"/>
                <w:szCs w:val="22"/>
              </w:rPr>
            </w:pPr>
            <w:r w:rsidRPr="00E85451">
              <w:rPr>
                <w:rFonts w:ascii="Arial" w:hAnsi="Arial" w:cs="Arial"/>
                <w:b/>
                <w:bCs/>
                <w:color w:val="auto"/>
                <w:sz w:val="22"/>
                <w:szCs w:val="22"/>
              </w:rPr>
              <w:t>POSTOTAK IZVRŠENOSTI</w:t>
            </w:r>
          </w:p>
        </w:tc>
      </w:tr>
      <w:tr w:rsidR="00E85451" w:rsidRPr="00E85451" w:rsidTr="00301C6D">
        <w:trPr>
          <w:trHeight w:val="300"/>
        </w:trPr>
        <w:tc>
          <w:tcPr>
            <w:tcW w:w="1575" w:type="dxa"/>
            <w:vMerge w:val="restart"/>
            <w:tcBorders>
              <w:top w:val="nil"/>
              <w:left w:val="single" w:sz="8" w:space="0" w:color="auto"/>
              <w:bottom w:val="single" w:sz="8" w:space="0" w:color="000000"/>
              <w:right w:val="single" w:sz="8" w:space="0" w:color="auto"/>
            </w:tcBorders>
            <w:shd w:val="clear" w:color="auto" w:fill="auto"/>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EUROPASS</w:t>
            </w:r>
          </w:p>
        </w:tc>
        <w:tc>
          <w:tcPr>
            <w:tcW w:w="1984" w:type="dxa"/>
            <w:tcBorders>
              <w:top w:val="nil"/>
              <w:left w:val="nil"/>
              <w:bottom w:val="single" w:sz="4" w:space="0" w:color="auto"/>
              <w:right w:val="single" w:sz="4" w:space="0" w:color="auto"/>
            </w:tcBorders>
            <w:shd w:val="clear" w:color="000000" w:fill="FFFFFF"/>
            <w:noWrap/>
            <w:vAlign w:val="bottom"/>
            <w:hideMark/>
          </w:tcPr>
          <w:p w:rsidR="00B72F61" w:rsidRPr="00E85451" w:rsidRDefault="00B72F61" w:rsidP="00B72F61">
            <w:pPr>
              <w:widowControl/>
              <w:rPr>
                <w:rFonts w:ascii="Arial" w:hAnsi="Arial" w:cs="Arial"/>
                <w:color w:val="auto"/>
                <w:sz w:val="22"/>
                <w:szCs w:val="22"/>
              </w:rPr>
            </w:pPr>
            <w:r w:rsidRPr="00E85451">
              <w:rPr>
                <w:rFonts w:ascii="Arial" w:hAnsi="Arial" w:cs="Arial"/>
                <w:color w:val="auto"/>
                <w:sz w:val="22"/>
                <w:szCs w:val="22"/>
              </w:rPr>
              <w:t>Izvor 12</w:t>
            </w:r>
          </w:p>
        </w:tc>
        <w:tc>
          <w:tcPr>
            <w:tcW w:w="1843" w:type="dxa"/>
            <w:tcBorders>
              <w:top w:val="nil"/>
              <w:left w:val="nil"/>
              <w:bottom w:val="single" w:sz="4" w:space="0" w:color="auto"/>
              <w:right w:val="single" w:sz="4" w:space="0" w:color="auto"/>
            </w:tcBorders>
            <w:shd w:val="clear" w:color="000000" w:fill="FFFFFF"/>
            <w:noWrap/>
            <w:vAlign w:val="bottom"/>
            <w:hideMark/>
          </w:tcPr>
          <w:p w:rsidR="00B72F61" w:rsidRPr="00E85451" w:rsidRDefault="00B72F61" w:rsidP="00B72F61">
            <w:pPr>
              <w:widowControl/>
              <w:jc w:val="right"/>
              <w:rPr>
                <w:rFonts w:ascii="Arial" w:hAnsi="Arial" w:cs="Arial"/>
                <w:color w:val="auto"/>
                <w:sz w:val="22"/>
                <w:szCs w:val="22"/>
              </w:rPr>
            </w:pPr>
            <w:r w:rsidRPr="00E85451">
              <w:rPr>
                <w:rFonts w:ascii="Arial" w:hAnsi="Arial" w:cs="Arial"/>
                <w:color w:val="auto"/>
                <w:sz w:val="22"/>
                <w:szCs w:val="22"/>
              </w:rPr>
              <w:t>40%</w:t>
            </w:r>
          </w:p>
        </w:tc>
        <w:tc>
          <w:tcPr>
            <w:tcW w:w="1559" w:type="dxa"/>
            <w:tcBorders>
              <w:top w:val="nil"/>
              <w:left w:val="nil"/>
              <w:bottom w:val="single" w:sz="4" w:space="0" w:color="auto"/>
              <w:right w:val="single" w:sz="4" w:space="0" w:color="auto"/>
            </w:tcBorders>
            <w:shd w:val="clear" w:color="000000" w:fill="FFFFFF"/>
            <w:noWrap/>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16.000,00 EUR</w:t>
            </w:r>
          </w:p>
        </w:tc>
        <w:tc>
          <w:tcPr>
            <w:tcW w:w="1701" w:type="dxa"/>
            <w:tcBorders>
              <w:top w:val="nil"/>
              <w:left w:val="nil"/>
              <w:bottom w:val="single" w:sz="4" w:space="0" w:color="auto"/>
              <w:right w:val="nil"/>
            </w:tcBorders>
            <w:shd w:val="clear" w:color="000000" w:fill="FFFFFF"/>
            <w:noWrap/>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11.806,00 EUR</w:t>
            </w:r>
          </w:p>
        </w:tc>
        <w:tc>
          <w:tcPr>
            <w:tcW w:w="154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73,79%</w:t>
            </w:r>
          </w:p>
        </w:tc>
      </w:tr>
      <w:tr w:rsidR="00E85451" w:rsidRPr="00E85451" w:rsidTr="00301C6D">
        <w:trPr>
          <w:trHeight w:val="315"/>
        </w:trPr>
        <w:tc>
          <w:tcPr>
            <w:tcW w:w="1575" w:type="dxa"/>
            <w:vMerge/>
            <w:tcBorders>
              <w:top w:val="nil"/>
              <w:left w:val="single" w:sz="8" w:space="0" w:color="auto"/>
              <w:bottom w:val="single" w:sz="8" w:space="0" w:color="000000"/>
              <w:right w:val="single" w:sz="8" w:space="0" w:color="auto"/>
            </w:tcBorders>
            <w:vAlign w:val="center"/>
            <w:hideMark/>
          </w:tcPr>
          <w:p w:rsidR="00B72F61" w:rsidRPr="00E85451" w:rsidRDefault="00B72F61" w:rsidP="00B72F61">
            <w:pPr>
              <w:widowControl/>
              <w:rPr>
                <w:rFonts w:ascii="Arial" w:hAnsi="Arial" w:cs="Arial"/>
                <w:color w:val="auto"/>
                <w:sz w:val="22"/>
                <w:szCs w:val="22"/>
              </w:rPr>
            </w:pPr>
          </w:p>
        </w:tc>
        <w:tc>
          <w:tcPr>
            <w:tcW w:w="1984" w:type="dxa"/>
            <w:tcBorders>
              <w:top w:val="nil"/>
              <w:left w:val="nil"/>
              <w:bottom w:val="double" w:sz="6" w:space="0" w:color="auto"/>
              <w:right w:val="single" w:sz="4" w:space="0" w:color="auto"/>
            </w:tcBorders>
            <w:shd w:val="clear" w:color="000000" w:fill="FFFFFF"/>
            <w:noWrap/>
            <w:vAlign w:val="bottom"/>
            <w:hideMark/>
          </w:tcPr>
          <w:p w:rsidR="00B72F61" w:rsidRPr="00E85451" w:rsidRDefault="00B72F61" w:rsidP="00B72F61">
            <w:pPr>
              <w:widowControl/>
              <w:rPr>
                <w:rFonts w:ascii="Arial" w:hAnsi="Arial" w:cs="Arial"/>
                <w:color w:val="auto"/>
                <w:sz w:val="22"/>
                <w:szCs w:val="22"/>
              </w:rPr>
            </w:pPr>
            <w:r w:rsidRPr="00E85451">
              <w:rPr>
                <w:rFonts w:ascii="Arial" w:hAnsi="Arial" w:cs="Arial"/>
                <w:color w:val="auto"/>
                <w:sz w:val="22"/>
                <w:szCs w:val="22"/>
              </w:rPr>
              <w:t>Izvor 51</w:t>
            </w:r>
          </w:p>
        </w:tc>
        <w:tc>
          <w:tcPr>
            <w:tcW w:w="1843" w:type="dxa"/>
            <w:tcBorders>
              <w:top w:val="nil"/>
              <w:left w:val="nil"/>
              <w:bottom w:val="double" w:sz="6" w:space="0" w:color="auto"/>
              <w:right w:val="single" w:sz="4" w:space="0" w:color="auto"/>
            </w:tcBorders>
            <w:shd w:val="clear" w:color="000000" w:fill="FFFFFF"/>
            <w:noWrap/>
            <w:vAlign w:val="bottom"/>
            <w:hideMark/>
          </w:tcPr>
          <w:p w:rsidR="00B72F61" w:rsidRPr="00E85451" w:rsidRDefault="00B72F61" w:rsidP="00B72F61">
            <w:pPr>
              <w:widowControl/>
              <w:jc w:val="right"/>
              <w:rPr>
                <w:rFonts w:ascii="Arial" w:hAnsi="Arial" w:cs="Arial"/>
                <w:color w:val="auto"/>
                <w:sz w:val="22"/>
                <w:szCs w:val="22"/>
              </w:rPr>
            </w:pPr>
            <w:r w:rsidRPr="00E85451">
              <w:rPr>
                <w:rFonts w:ascii="Arial" w:hAnsi="Arial" w:cs="Arial"/>
                <w:color w:val="auto"/>
                <w:sz w:val="22"/>
                <w:szCs w:val="22"/>
              </w:rPr>
              <w:t>60%</w:t>
            </w:r>
          </w:p>
        </w:tc>
        <w:tc>
          <w:tcPr>
            <w:tcW w:w="1559" w:type="dxa"/>
            <w:tcBorders>
              <w:top w:val="nil"/>
              <w:left w:val="nil"/>
              <w:bottom w:val="double" w:sz="6" w:space="0" w:color="auto"/>
              <w:right w:val="single" w:sz="4" w:space="0" w:color="auto"/>
            </w:tcBorders>
            <w:shd w:val="clear" w:color="000000" w:fill="FFFFFF"/>
            <w:noWrap/>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24.000,00 EUR</w:t>
            </w:r>
          </w:p>
        </w:tc>
        <w:tc>
          <w:tcPr>
            <w:tcW w:w="1701" w:type="dxa"/>
            <w:tcBorders>
              <w:top w:val="nil"/>
              <w:left w:val="nil"/>
              <w:bottom w:val="double" w:sz="6" w:space="0" w:color="auto"/>
              <w:right w:val="single" w:sz="8" w:space="0" w:color="auto"/>
            </w:tcBorders>
            <w:shd w:val="clear" w:color="000000" w:fill="FFFFFF"/>
            <w:noWrap/>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17.708,00 EUR</w:t>
            </w:r>
          </w:p>
        </w:tc>
        <w:tc>
          <w:tcPr>
            <w:tcW w:w="1545" w:type="dxa"/>
            <w:vMerge/>
            <w:tcBorders>
              <w:top w:val="nil"/>
              <w:left w:val="single" w:sz="8" w:space="0" w:color="auto"/>
              <w:bottom w:val="single" w:sz="8" w:space="0" w:color="000000"/>
              <w:right w:val="single" w:sz="8" w:space="0" w:color="auto"/>
            </w:tcBorders>
            <w:vAlign w:val="center"/>
            <w:hideMark/>
          </w:tcPr>
          <w:p w:rsidR="00B72F61" w:rsidRPr="00E85451" w:rsidRDefault="00B72F61" w:rsidP="00B72F61">
            <w:pPr>
              <w:widowControl/>
              <w:rPr>
                <w:rFonts w:ascii="Arial" w:hAnsi="Arial" w:cs="Arial"/>
                <w:color w:val="auto"/>
                <w:sz w:val="22"/>
                <w:szCs w:val="22"/>
              </w:rPr>
            </w:pPr>
          </w:p>
        </w:tc>
      </w:tr>
      <w:tr w:rsidR="00E85451" w:rsidRPr="00E85451" w:rsidTr="00301C6D">
        <w:trPr>
          <w:trHeight w:val="330"/>
        </w:trPr>
        <w:tc>
          <w:tcPr>
            <w:tcW w:w="1575" w:type="dxa"/>
            <w:vMerge/>
            <w:tcBorders>
              <w:top w:val="nil"/>
              <w:left w:val="single" w:sz="8" w:space="0" w:color="auto"/>
              <w:bottom w:val="single" w:sz="8" w:space="0" w:color="000000"/>
              <w:right w:val="single" w:sz="8" w:space="0" w:color="auto"/>
            </w:tcBorders>
            <w:vAlign w:val="center"/>
            <w:hideMark/>
          </w:tcPr>
          <w:p w:rsidR="00B72F61" w:rsidRPr="00E85451" w:rsidRDefault="00B72F61" w:rsidP="00B72F61">
            <w:pPr>
              <w:widowControl/>
              <w:rPr>
                <w:rFonts w:ascii="Arial" w:hAnsi="Arial" w:cs="Arial"/>
                <w:color w:val="auto"/>
                <w:sz w:val="22"/>
                <w:szCs w:val="22"/>
              </w:rPr>
            </w:pPr>
          </w:p>
        </w:tc>
        <w:tc>
          <w:tcPr>
            <w:tcW w:w="3827" w:type="dxa"/>
            <w:gridSpan w:val="2"/>
            <w:tcBorders>
              <w:top w:val="nil"/>
              <w:left w:val="nil"/>
              <w:bottom w:val="single" w:sz="8" w:space="0" w:color="auto"/>
              <w:right w:val="single" w:sz="4" w:space="0" w:color="auto"/>
            </w:tcBorders>
            <w:shd w:val="clear" w:color="000000" w:fill="FFFFFF"/>
            <w:noWrap/>
            <w:vAlign w:val="bottom"/>
            <w:hideMark/>
          </w:tcPr>
          <w:p w:rsidR="00B72F61" w:rsidRPr="00E85451" w:rsidRDefault="00B72F61" w:rsidP="00B72F61">
            <w:pPr>
              <w:widowControl/>
              <w:rPr>
                <w:rFonts w:ascii="Arial" w:hAnsi="Arial" w:cs="Arial"/>
                <w:i/>
                <w:iCs/>
                <w:color w:val="auto"/>
                <w:sz w:val="22"/>
                <w:szCs w:val="22"/>
              </w:rPr>
            </w:pPr>
            <w:r w:rsidRPr="00E85451">
              <w:rPr>
                <w:rFonts w:ascii="Arial" w:hAnsi="Arial" w:cs="Arial"/>
                <w:i/>
                <w:iCs/>
                <w:color w:val="auto"/>
                <w:sz w:val="22"/>
                <w:szCs w:val="22"/>
              </w:rPr>
              <w:t>UKUPNO</w:t>
            </w:r>
          </w:p>
        </w:tc>
        <w:tc>
          <w:tcPr>
            <w:tcW w:w="1559" w:type="dxa"/>
            <w:tcBorders>
              <w:top w:val="nil"/>
              <w:left w:val="nil"/>
              <w:bottom w:val="single" w:sz="8" w:space="0" w:color="auto"/>
              <w:right w:val="single" w:sz="4" w:space="0" w:color="auto"/>
            </w:tcBorders>
            <w:shd w:val="clear" w:color="000000" w:fill="FFFFFF"/>
            <w:noWrap/>
            <w:vAlign w:val="center"/>
            <w:hideMark/>
          </w:tcPr>
          <w:p w:rsidR="00B72F61" w:rsidRPr="00E85451" w:rsidRDefault="00B72F61" w:rsidP="00B72F61">
            <w:pPr>
              <w:widowControl/>
              <w:jc w:val="center"/>
              <w:rPr>
                <w:rFonts w:ascii="Arial" w:hAnsi="Arial" w:cs="Arial"/>
                <w:b/>
                <w:bCs/>
                <w:color w:val="auto"/>
                <w:sz w:val="22"/>
                <w:szCs w:val="22"/>
              </w:rPr>
            </w:pPr>
            <w:r w:rsidRPr="00E85451">
              <w:rPr>
                <w:rFonts w:ascii="Arial" w:hAnsi="Arial" w:cs="Arial"/>
                <w:b/>
                <w:bCs/>
                <w:color w:val="auto"/>
                <w:sz w:val="22"/>
                <w:szCs w:val="22"/>
              </w:rPr>
              <w:t>40.000,00 EUR</w:t>
            </w:r>
          </w:p>
        </w:tc>
        <w:tc>
          <w:tcPr>
            <w:tcW w:w="1701" w:type="dxa"/>
            <w:tcBorders>
              <w:top w:val="nil"/>
              <w:left w:val="nil"/>
              <w:bottom w:val="single" w:sz="8" w:space="0" w:color="auto"/>
              <w:right w:val="nil"/>
            </w:tcBorders>
            <w:shd w:val="clear" w:color="000000" w:fill="FFFFFF"/>
            <w:noWrap/>
            <w:vAlign w:val="center"/>
            <w:hideMark/>
          </w:tcPr>
          <w:p w:rsidR="00B72F61" w:rsidRPr="00E85451" w:rsidRDefault="00B72F61" w:rsidP="00B72F61">
            <w:pPr>
              <w:widowControl/>
              <w:jc w:val="center"/>
              <w:rPr>
                <w:rFonts w:ascii="Arial" w:hAnsi="Arial" w:cs="Arial"/>
                <w:b/>
                <w:bCs/>
                <w:color w:val="auto"/>
                <w:sz w:val="22"/>
                <w:szCs w:val="22"/>
              </w:rPr>
            </w:pPr>
            <w:r w:rsidRPr="00E85451">
              <w:rPr>
                <w:rFonts w:ascii="Arial" w:hAnsi="Arial" w:cs="Arial"/>
                <w:b/>
                <w:bCs/>
                <w:color w:val="auto"/>
                <w:sz w:val="22"/>
                <w:szCs w:val="22"/>
              </w:rPr>
              <w:t>29.514,00 EUR</w:t>
            </w:r>
          </w:p>
        </w:tc>
        <w:tc>
          <w:tcPr>
            <w:tcW w:w="1545" w:type="dxa"/>
            <w:vMerge/>
            <w:tcBorders>
              <w:top w:val="nil"/>
              <w:left w:val="single" w:sz="8" w:space="0" w:color="auto"/>
              <w:bottom w:val="single" w:sz="8" w:space="0" w:color="000000"/>
              <w:right w:val="single" w:sz="8" w:space="0" w:color="auto"/>
            </w:tcBorders>
            <w:vAlign w:val="center"/>
            <w:hideMark/>
          </w:tcPr>
          <w:p w:rsidR="00B72F61" w:rsidRPr="00E85451" w:rsidRDefault="00B72F61" w:rsidP="00B72F61">
            <w:pPr>
              <w:widowControl/>
              <w:rPr>
                <w:rFonts w:ascii="Arial" w:hAnsi="Arial" w:cs="Arial"/>
                <w:color w:val="auto"/>
                <w:sz w:val="22"/>
                <w:szCs w:val="22"/>
              </w:rPr>
            </w:pPr>
          </w:p>
        </w:tc>
      </w:tr>
      <w:tr w:rsidR="00E85451" w:rsidRPr="00E85451" w:rsidTr="00301C6D">
        <w:trPr>
          <w:trHeight w:val="300"/>
        </w:trPr>
        <w:tc>
          <w:tcPr>
            <w:tcW w:w="1575" w:type="dxa"/>
            <w:vMerge w:val="restart"/>
            <w:tcBorders>
              <w:top w:val="nil"/>
              <w:left w:val="single" w:sz="8" w:space="0" w:color="auto"/>
              <w:bottom w:val="single" w:sz="8" w:space="0" w:color="000000"/>
              <w:right w:val="single" w:sz="8" w:space="0" w:color="auto"/>
            </w:tcBorders>
            <w:shd w:val="clear" w:color="auto" w:fill="auto"/>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EUROGUIDANCE</w:t>
            </w:r>
          </w:p>
        </w:tc>
        <w:tc>
          <w:tcPr>
            <w:tcW w:w="1984" w:type="dxa"/>
            <w:tcBorders>
              <w:top w:val="nil"/>
              <w:left w:val="nil"/>
              <w:bottom w:val="single" w:sz="4" w:space="0" w:color="auto"/>
              <w:right w:val="single" w:sz="4" w:space="0" w:color="auto"/>
            </w:tcBorders>
            <w:shd w:val="clear" w:color="000000" w:fill="FFFFFF"/>
            <w:noWrap/>
            <w:vAlign w:val="bottom"/>
            <w:hideMark/>
          </w:tcPr>
          <w:p w:rsidR="00B72F61" w:rsidRPr="00E85451" w:rsidRDefault="00B72F61" w:rsidP="00B72F61">
            <w:pPr>
              <w:widowControl/>
              <w:rPr>
                <w:rFonts w:ascii="Arial" w:hAnsi="Arial" w:cs="Arial"/>
                <w:color w:val="auto"/>
                <w:sz w:val="22"/>
                <w:szCs w:val="22"/>
              </w:rPr>
            </w:pPr>
            <w:r w:rsidRPr="00E85451">
              <w:rPr>
                <w:rFonts w:ascii="Arial" w:hAnsi="Arial" w:cs="Arial"/>
                <w:color w:val="auto"/>
                <w:sz w:val="22"/>
                <w:szCs w:val="22"/>
              </w:rPr>
              <w:t>Izvor 12</w:t>
            </w:r>
          </w:p>
        </w:tc>
        <w:tc>
          <w:tcPr>
            <w:tcW w:w="1843" w:type="dxa"/>
            <w:tcBorders>
              <w:top w:val="nil"/>
              <w:left w:val="nil"/>
              <w:bottom w:val="single" w:sz="4" w:space="0" w:color="auto"/>
              <w:right w:val="single" w:sz="4" w:space="0" w:color="auto"/>
            </w:tcBorders>
            <w:shd w:val="clear" w:color="000000" w:fill="FFFFFF"/>
            <w:noWrap/>
            <w:vAlign w:val="bottom"/>
            <w:hideMark/>
          </w:tcPr>
          <w:p w:rsidR="00B72F61" w:rsidRPr="00E85451" w:rsidRDefault="00B72F61" w:rsidP="00B72F61">
            <w:pPr>
              <w:widowControl/>
              <w:jc w:val="right"/>
              <w:rPr>
                <w:rFonts w:ascii="Arial" w:hAnsi="Arial" w:cs="Arial"/>
                <w:color w:val="auto"/>
                <w:sz w:val="22"/>
                <w:szCs w:val="22"/>
              </w:rPr>
            </w:pPr>
            <w:r w:rsidRPr="00E85451">
              <w:rPr>
                <w:rFonts w:ascii="Arial" w:hAnsi="Arial" w:cs="Arial"/>
                <w:color w:val="auto"/>
                <w:sz w:val="22"/>
                <w:szCs w:val="22"/>
              </w:rPr>
              <w:t>40%</w:t>
            </w:r>
          </w:p>
        </w:tc>
        <w:tc>
          <w:tcPr>
            <w:tcW w:w="1559" w:type="dxa"/>
            <w:tcBorders>
              <w:top w:val="nil"/>
              <w:left w:val="nil"/>
              <w:bottom w:val="single" w:sz="4" w:space="0" w:color="auto"/>
              <w:right w:val="single" w:sz="4" w:space="0" w:color="auto"/>
            </w:tcBorders>
            <w:shd w:val="clear" w:color="000000" w:fill="FFFFFF"/>
            <w:noWrap/>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17.000,00 EUR</w:t>
            </w:r>
          </w:p>
        </w:tc>
        <w:tc>
          <w:tcPr>
            <w:tcW w:w="1701" w:type="dxa"/>
            <w:tcBorders>
              <w:top w:val="nil"/>
              <w:left w:val="nil"/>
              <w:bottom w:val="single" w:sz="4" w:space="0" w:color="auto"/>
              <w:right w:val="nil"/>
            </w:tcBorders>
            <w:shd w:val="clear" w:color="000000" w:fill="FFFFFF"/>
            <w:noWrap/>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15.025,00 EUR</w:t>
            </w:r>
          </w:p>
        </w:tc>
        <w:tc>
          <w:tcPr>
            <w:tcW w:w="154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88,38%</w:t>
            </w:r>
          </w:p>
        </w:tc>
      </w:tr>
      <w:tr w:rsidR="00E85451" w:rsidRPr="00E85451" w:rsidTr="00301C6D">
        <w:trPr>
          <w:trHeight w:val="315"/>
        </w:trPr>
        <w:tc>
          <w:tcPr>
            <w:tcW w:w="1575" w:type="dxa"/>
            <w:vMerge/>
            <w:tcBorders>
              <w:top w:val="nil"/>
              <w:left w:val="single" w:sz="8" w:space="0" w:color="auto"/>
              <w:bottom w:val="single" w:sz="8" w:space="0" w:color="000000"/>
              <w:right w:val="single" w:sz="8" w:space="0" w:color="auto"/>
            </w:tcBorders>
            <w:vAlign w:val="center"/>
            <w:hideMark/>
          </w:tcPr>
          <w:p w:rsidR="00B72F61" w:rsidRPr="00E85451" w:rsidRDefault="00B72F61" w:rsidP="00B72F61">
            <w:pPr>
              <w:widowControl/>
              <w:rPr>
                <w:rFonts w:ascii="Arial" w:hAnsi="Arial" w:cs="Arial"/>
                <w:color w:val="auto"/>
                <w:sz w:val="22"/>
                <w:szCs w:val="22"/>
              </w:rPr>
            </w:pPr>
          </w:p>
        </w:tc>
        <w:tc>
          <w:tcPr>
            <w:tcW w:w="1984" w:type="dxa"/>
            <w:tcBorders>
              <w:top w:val="nil"/>
              <w:left w:val="nil"/>
              <w:bottom w:val="double" w:sz="6" w:space="0" w:color="auto"/>
              <w:right w:val="single" w:sz="4" w:space="0" w:color="auto"/>
            </w:tcBorders>
            <w:shd w:val="clear" w:color="000000" w:fill="FFFFFF"/>
            <w:noWrap/>
            <w:vAlign w:val="bottom"/>
            <w:hideMark/>
          </w:tcPr>
          <w:p w:rsidR="00B72F61" w:rsidRPr="00E85451" w:rsidRDefault="00B72F61" w:rsidP="00B72F61">
            <w:pPr>
              <w:widowControl/>
              <w:rPr>
                <w:rFonts w:ascii="Arial" w:hAnsi="Arial" w:cs="Arial"/>
                <w:color w:val="auto"/>
                <w:sz w:val="22"/>
                <w:szCs w:val="22"/>
              </w:rPr>
            </w:pPr>
            <w:r w:rsidRPr="00E85451">
              <w:rPr>
                <w:rFonts w:ascii="Arial" w:hAnsi="Arial" w:cs="Arial"/>
                <w:color w:val="auto"/>
                <w:sz w:val="22"/>
                <w:szCs w:val="22"/>
              </w:rPr>
              <w:t>Izvor 51</w:t>
            </w:r>
          </w:p>
        </w:tc>
        <w:tc>
          <w:tcPr>
            <w:tcW w:w="1843" w:type="dxa"/>
            <w:tcBorders>
              <w:top w:val="nil"/>
              <w:left w:val="nil"/>
              <w:bottom w:val="double" w:sz="6" w:space="0" w:color="auto"/>
              <w:right w:val="single" w:sz="4" w:space="0" w:color="auto"/>
            </w:tcBorders>
            <w:shd w:val="clear" w:color="000000" w:fill="FFFFFF"/>
            <w:noWrap/>
            <w:vAlign w:val="bottom"/>
            <w:hideMark/>
          </w:tcPr>
          <w:p w:rsidR="00B72F61" w:rsidRPr="00E85451" w:rsidRDefault="00B72F61" w:rsidP="00B72F61">
            <w:pPr>
              <w:widowControl/>
              <w:jc w:val="right"/>
              <w:rPr>
                <w:rFonts w:ascii="Arial" w:hAnsi="Arial" w:cs="Arial"/>
                <w:color w:val="auto"/>
                <w:sz w:val="22"/>
                <w:szCs w:val="22"/>
              </w:rPr>
            </w:pPr>
            <w:r w:rsidRPr="00E85451">
              <w:rPr>
                <w:rFonts w:ascii="Arial" w:hAnsi="Arial" w:cs="Arial"/>
                <w:color w:val="auto"/>
                <w:sz w:val="22"/>
                <w:szCs w:val="22"/>
              </w:rPr>
              <w:t>60%</w:t>
            </w:r>
          </w:p>
        </w:tc>
        <w:tc>
          <w:tcPr>
            <w:tcW w:w="1559" w:type="dxa"/>
            <w:tcBorders>
              <w:top w:val="nil"/>
              <w:left w:val="nil"/>
              <w:bottom w:val="double" w:sz="6" w:space="0" w:color="auto"/>
              <w:right w:val="single" w:sz="4" w:space="0" w:color="auto"/>
            </w:tcBorders>
            <w:shd w:val="clear" w:color="000000" w:fill="FFFFFF"/>
            <w:noWrap/>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25.500,00 EUR</w:t>
            </w:r>
          </w:p>
        </w:tc>
        <w:tc>
          <w:tcPr>
            <w:tcW w:w="1701" w:type="dxa"/>
            <w:tcBorders>
              <w:top w:val="nil"/>
              <w:left w:val="nil"/>
              <w:bottom w:val="double" w:sz="6" w:space="0" w:color="auto"/>
              <w:right w:val="single" w:sz="8" w:space="0" w:color="auto"/>
            </w:tcBorders>
            <w:shd w:val="clear" w:color="000000" w:fill="FFFFFF"/>
            <w:noWrap/>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22.538,00 EUR</w:t>
            </w:r>
          </w:p>
        </w:tc>
        <w:tc>
          <w:tcPr>
            <w:tcW w:w="1545" w:type="dxa"/>
            <w:vMerge/>
            <w:tcBorders>
              <w:top w:val="nil"/>
              <w:left w:val="single" w:sz="8" w:space="0" w:color="auto"/>
              <w:bottom w:val="single" w:sz="8" w:space="0" w:color="000000"/>
              <w:right w:val="single" w:sz="8" w:space="0" w:color="auto"/>
            </w:tcBorders>
            <w:vAlign w:val="center"/>
            <w:hideMark/>
          </w:tcPr>
          <w:p w:rsidR="00B72F61" w:rsidRPr="00E85451" w:rsidRDefault="00B72F61" w:rsidP="00B72F61">
            <w:pPr>
              <w:widowControl/>
              <w:rPr>
                <w:rFonts w:ascii="Arial" w:hAnsi="Arial" w:cs="Arial"/>
                <w:color w:val="auto"/>
                <w:sz w:val="22"/>
                <w:szCs w:val="22"/>
              </w:rPr>
            </w:pPr>
          </w:p>
        </w:tc>
      </w:tr>
      <w:tr w:rsidR="00E85451" w:rsidRPr="00E85451" w:rsidTr="00301C6D">
        <w:trPr>
          <w:trHeight w:val="330"/>
        </w:trPr>
        <w:tc>
          <w:tcPr>
            <w:tcW w:w="1575" w:type="dxa"/>
            <w:vMerge/>
            <w:tcBorders>
              <w:top w:val="nil"/>
              <w:left w:val="single" w:sz="8" w:space="0" w:color="auto"/>
              <w:bottom w:val="single" w:sz="8" w:space="0" w:color="000000"/>
              <w:right w:val="single" w:sz="8" w:space="0" w:color="auto"/>
            </w:tcBorders>
            <w:vAlign w:val="center"/>
            <w:hideMark/>
          </w:tcPr>
          <w:p w:rsidR="00B72F61" w:rsidRPr="00E85451" w:rsidRDefault="00B72F61" w:rsidP="00B72F61">
            <w:pPr>
              <w:widowControl/>
              <w:rPr>
                <w:rFonts w:ascii="Arial" w:hAnsi="Arial" w:cs="Arial"/>
                <w:color w:val="auto"/>
                <w:sz w:val="22"/>
                <w:szCs w:val="22"/>
              </w:rPr>
            </w:pPr>
          </w:p>
        </w:tc>
        <w:tc>
          <w:tcPr>
            <w:tcW w:w="3827" w:type="dxa"/>
            <w:gridSpan w:val="2"/>
            <w:tcBorders>
              <w:top w:val="nil"/>
              <w:left w:val="nil"/>
              <w:bottom w:val="single" w:sz="8" w:space="0" w:color="auto"/>
              <w:right w:val="single" w:sz="4" w:space="0" w:color="auto"/>
            </w:tcBorders>
            <w:shd w:val="clear" w:color="000000" w:fill="FFFFFF"/>
            <w:noWrap/>
            <w:vAlign w:val="bottom"/>
            <w:hideMark/>
          </w:tcPr>
          <w:p w:rsidR="00B72F61" w:rsidRPr="00E85451" w:rsidRDefault="00B72F61" w:rsidP="00B72F61">
            <w:pPr>
              <w:widowControl/>
              <w:rPr>
                <w:rFonts w:ascii="Arial" w:hAnsi="Arial" w:cs="Arial"/>
                <w:i/>
                <w:iCs/>
                <w:color w:val="auto"/>
                <w:sz w:val="22"/>
                <w:szCs w:val="22"/>
              </w:rPr>
            </w:pPr>
            <w:r w:rsidRPr="00E85451">
              <w:rPr>
                <w:rFonts w:ascii="Arial" w:hAnsi="Arial" w:cs="Arial"/>
                <w:i/>
                <w:iCs/>
                <w:color w:val="auto"/>
                <w:sz w:val="22"/>
                <w:szCs w:val="22"/>
              </w:rPr>
              <w:t>UKUPNO</w:t>
            </w:r>
          </w:p>
        </w:tc>
        <w:tc>
          <w:tcPr>
            <w:tcW w:w="1559" w:type="dxa"/>
            <w:tcBorders>
              <w:top w:val="nil"/>
              <w:left w:val="nil"/>
              <w:bottom w:val="single" w:sz="8" w:space="0" w:color="auto"/>
              <w:right w:val="single" w:sz="4" w:space="0" w:color="auto"/>
            </w:tcBorders>
            <w:shd w:val="clear" w:color="000000" w:fill="FFFFFF"/>
            <w:noWrap/>
            <w:vAlign w:val="center"/>
            <w:hideMark/>
          </w:tcPr>
          <w:p w:rsidR="00B72F61" w:rsidRPr="00E85451" w:rsidRDefault="00B72F61" w:rsidP="00B72F61">
            <w:pPr>
              <w:widowControl/>
              <w:jc w:val="center"/>
              <w:rPr>
                <w:rFonts w:ascii="Arial" w:hAnsi="Arial" w:cs="Arial"/>
                <w:b/>
                <w:bCs/>
                <w:color w:val="auto"/>
                <w:sz w:val="22"/>
                <w:szCs w:val="22"/>
              </w:rPr>
            </w:pPr>
            <w:r w:rsidRPr="00E85451">
              <w:rPr>
                <w:rFonts w:ascii="Arial" w:hAnsi="Arial" w:cs="Arial"/>
                <w:b/>
                <w:bCs/>
                <w:color w:val="auto"/>
                <w:sz w:val="22"/>
                <w:szCs w:val="22"/>
              </w:rPr>
              <w:t>42.500,00 EUR</w:t>
            </w:r>
          </w:p>
        </w:tc>
        <w:tc>
          <w:tcPr>
            <w:tcW w:w="1701" w:type="dxa"/>
            <w:tcBorders>
              <w:top w:val="nil"/>
              <w:left w:val="nil"/>
              <w:bottom w:val="single" w:sz="8" w:space="0" w:color="auto"/>
              <w:right w:val="nil"/>
            </w:tcBorders>
            <w:shd w:val="clear" w:color="000000" w:fill="FFFFFF"/>
            <w:noWrap/>
            <w:vAlign w:val="center"/>
            <w:hideMark/>
          </w:tcPr>
          <w:p w:rsidR="00B72F61" w:rsidRPr="00E85451" w:rsidRDefault="00B72F61" w:rsidP="00B72F61">
            <w:pPr>
              <w:widowControl/>
              <w:jc w:val="center"/>
              <w:rPr>
                <w:rFonts w:ascii="Arial" w:hAnsi="Arial" w:cs="Arial"/>
                <w:b/>
                <w:bCs/>
                <w:color w:val="auto"/>
                <w:sz w:val="22"/>
                <w:szCs w:val="22"/>
              </w:rPr>
            </w:pPr>
            <w:r w:rsidRPr="00E85451">
              <w:rPr>
                <w:rFonts w:ascii="Arial" w:hAnsi="Arial" w:cs="Arial"/>
                <w:b/>
                <w:bCs/>
                <w:color w:val="auto"/>
                <w:sz w:val="22"/>
                <w:szCs w:val="22"/>
              </w:rPr>
              <w:t>37.563,00 EUR</w:t>
            </w:r>
          </w:p>
        </w:tc>
        <w:tc>
          <w:tcPr>
            <w:tcW w:w="1545" w:type="dxa"/>
            <w:vMerge/>
            <w:tcBorders>
              <w:top w:val="nil"/>
              <w:left w:val="single" w:sz="8" w:space="0" w:color="auto"/>
              <w:bottom w:val="single" w:sz="8" w:space="0" w:color="000000"/>
              <w:right w:val="single" w:sz="8" w:space="0" w:color="auto"/>
            </w:tcBorders>
            <w:vAlign w:val="center"/>
            <w:hideMark/>
          </w:tcPr>
          <w:p w:rsidR="00B72F61" w:rsidRPr="00E85451" w:rsidRDefault="00B72F61" w:rsidP="00B72F61">
            <w:pPr>
              <w:widowControl/>
              <w:rPr>
                <w:rFonts w:ascii="Arial" w:hAnsi="Arial" w:cs="Arial"/>
                <w:color w:val="auto"/>
                <w:sz w:val="22"/>
                <w:szCs w:val="22"/>
              </w:rPr>
            </w:pPr>
          </w:p>
        </w:tc>
      </w:tr>
      <w:tr w:rsidR="00E85451" w:rsidRPr="00E85451" w:rsidTr="00301C6D">
        <w:trPr>
          <w:trHeight w:val="300"/>
        </w:trPr>
        <w:tc>
          <w:tcPr>
            <w:tcW w:w="1575" w:type="dxa"/>
            <w:vMerge w:val="restart"/>
            <w:tcBorders>
              <w:top w:val="nil"/>
              <w:left w:val="single" w:sz="8" w:space="0" w:color="auto"/>
              <w:bottom w:val="single" w:sz="8" w:space="0" w:color="000000"/>
              <w:right w:val="single" w:sz="8" w:space="0" w:color="auto"/>
            </w:tcBorders>
            <w:shd w:val="clear" w:color="auto" w:fill="auto"/>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ETWINNING</w:t>
            </w:r>
          </w:p>
        </w:tc>
        <w:tc>
          <w:tcPr>
            <w:tcW w:w="1984" w:type="dxa"/>
            <w:tcBorders>
              <w:top w:val="nil"/>
              <w:left w:val="nil"/>
              <w:bottom w:val="single" w:sz="4" w:space="0" w:color="auto"/>
              <w:right w:val="single" w:sz="4" w:space="0" w:color="auto"/>
            </w:tcBorders>
            <w:shd w:val="clear" w:color="000000" w:fill="FFFFFF"/>
            <w:noWrap/>
            <w:vAlign w:val="bottom"/>
            <w:hideMark/>
          </w:tcPr>
          <w:p w:rsidR="00B72F61" w:rsidRPr="00E85451" w:rsidRDefault="00B72F61" w:rsidP="00B72F61">
            <w:pPr>
              <w:widowControl/>
              <w:rPr>
                <w:rFonts w:ascii="Arial" w:hAnsi="Arial" w:cs="Arial"/>
                <w:color w:val="auto"/>
                <w:sz w:val="22"/>
                <w:szCs w:val="22"/>
              </w:rPr>
            </w:pPr>
            <w:r w:rsidRPr="00E85451">
              <w:rPr>
                <w:rFonts w:ascii="Arial" w:hAnsi="Arial" w:cs="Arial"/>
                <w:color w:val="auto"/>
                <w:sz w:val="22"/>
                <w:szCs w:val="22"/>
              </w:rPr>
              <w:t>Izvor 12</w:t>
            </w:r>
          </w:p>
        </w:tc>
        <w:tc>
          <w:tcPr>
            <w:tcW w:w="1843" w:type="dxa"/>
            <w:tcBorders>
              <w:top w:val="nil"/>
              <w:left w:val="nil"/>
              <w:bottom w:val="single" w:sz="4" w:space="0" w:color="auto"/>
              <w:right w:val="single" w:sz="4" w:space="0" w:color="auto"/>
            </w:tcBorders>
            <w:shd w:val="clear" w:color="000000" w:fill="FFFFFF"/>
            <w:noWrap/>
            <w:vAlign w:val="bottom"/>
            <w:hideMark/>
          </w:tcPr>
          <w:p w:rsidR="00B72F61" w:rsidRPr="00E85451" w:rsidRDefault="00B72F61" w:rsidP="00B72F61">
            <w:pPr>
              <w:widowControl/>
              <w:jc w:val="right"/>
              <w:rPr>
                <w:rFonts w:ascii="Arial" w:hAnsi="Arial" w:cs="Arial"/>
                <w:color w:val="auto"/>
                <w:sz w:val="22"/>
                <w:szCs w:val="22"/>
              </w:rPr>
            </w:pPr>
            <w:r w:rsidRPr="00E85451">
              <w:rPr>
                <w:rFonts w:ascii="Arial" w:hAnsi="Arial" w:cs="Arial"/>
                <w:color w:val="auto"/>
                <w:sz w:val="22"/>
                <w:szCs w:val="22"/>
              </w:rPr>
              <w:t>20%</w:t>
            </w:r>
          </w:p>
        </w:tc>
        <w:tc>
          <w:tcPr>
            <w:tcW w:w="1559" w:type="dxa"/>
            <w:tcBorders>
              <w:top w:val="nil"/>
              <w:left w:val="nil"/>
              <w:bottom w:val="single" w:sz="4" w:space="0" w:color="auto"/>
              <w:right w:val="single" w:sz="4" w:space="0" w:color="auto"/>
            </w:tcBorders>
            <w:shd w:val="clear" w:color="000000" w:fill="FFFFFF"/>
            <w:noWrap/>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20.500,00 EUR</w:t>
            </w:r>
          </w:p>
        </w:tc>
        <w:tc>
          <w:tcPr>
            <w:tcW w:w="1701" w:type="dxa"/>
            <w:tcBorders>
              <w:top w:val="nil"/>
              <w:left w:val="nil"/>
              <w:bottom w:val="single" w:sz="4" w:space="0" w:color="auto"/>
              <w:right w:val="nil"/>
            </w:tcBorders>
            <w:shd w:val="clear" w:color="000000" w:fill="FFFFFF"/>
            <w:noWrap/>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16.455,35 EUR</w:t>
            </w:r>
          </w:p>
        </w:tc>
        <w:tc>
          <w:tcPr>
            <w:tcW w:w="1545"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80,27%</w:t>
            </w:r>
          </w:p>
        </w:tc>
      </w:tr>
      <w:tr w:rsidR="00E85451" w:rsidRPr="00E85451" w:rsidTr="00301C6D">
        <w:trPr>
          <w:trHeight w:val="315"/>
        </w:trPr>
        <w:tc>
          <w:tcPr>
            <w:tcW w:w="1575" w:type="dxa"/>
            <w:vMerge/>
            <w:tcBorders>
              <w:top w:val="nil"/>
              <w:left w:val="single" w:sz="8" w:space="0" w:color="auto"/>
              <w:bottom w:val="single" w:sz="8" w:space="0" w:color="000000"/>
              <w:right w:val="single" w:sz="8" w:space="0" w:color="auto"/>
            </w:tcBorders>
            <w:vAlign w:val="center"/>
            <w:hideMark/>
          </w:tcPr>
          <w:p w:rsidR="00B72F61" w:rsidRPr="00E85451" w:rsidRDefault="00B72F61" w:rsidP="00B72F61">
            <w:pPr>
              <w:widowControl/>
              <w:rPr>
                <w:rFonts w:ascii="Arial" w:hAnsi="Arial" w:cs="Arial"/>
                <w:color w:val="auto"/>
                <w:sz w:val="22"/>
                <w:szCs w:val="22"/>
              </w:rPr>
            </w:pPr>
          </w:p>
        </w:tc>
        <w:tc>
          <w:tcPr>
            <w:tcW w:w="1984" w:type="dxa"/>
            <w:tcBorders>
              <w:top w:val="nil"/>
              <w:left w:val="nil"/>
              <w:bottom w:val="double" w:sz="6" w:space="0" w:color="auto"/>
              <w:right w:val="single" w:sz="4" w:space="0" w:color="auto"/>
            </w:tcBorders>
            <w:shd w:val="clear" w:color="000000" w:fill="FFFFFF"/>
            <w:noWrap/>
            <w:vAlign w:val="bottom"/>
            <w:hideMark/>
          </w:tcPr>
          <w:p w:rsidR="00B72F61" w:rsidRPr="00E85451" w:rsidRDefault="00B72F61" w:rsidP="00B72F61">
            <w:pPr>
              <w:widowControl/>
              <w:rPr>
                <w:rFonts w:ascii="Arial" w:hAnsi="Arial" w:cs="Arial"/>
                <w:color w:val="auto"/>
                <w:sz w:val="22"/>
                <w:szCs w:val="22"/>
              </w:rPr>
            </w:pPr>
            <w:r w:rsidRPr="00E85451">
              <w:rPr>
                <w:rFonts w:ascii="Arial" w:hAnsi="Arial" w:cs="Arial"/>
                <w:color w:val="auto"/>
                <w:sz w:val="22"/>
                <w:szCs w:val="22"/>
              </w:rPr>
              <w:t>Izvor 51</w:t>
            </w:r>
          </w:p>
        </w:tc>
        <w:tc>
          <w:tcPr>
            <w:tcW w:w="1843" w:type="dxa"/>
            <w:tcBorders>
              <w:top w:val="nil"/>
              <w:left w:val="nil"/>
              <w:bottom w:val="double" w:sz="6" w:space="0" w:color="auto"/>
              <w:right w:val="single" w:sz="4" w:space="0" w:color="auto"/>
            </w:tcBorders>
            <w:shd w:val="clear" w:color="000000" w:fill="FFFFFF"/>
            <w:noWrap/>
            <w:vAlign w:val="bottom"/>
            <w:hideMark/>
          </w:tcPr>
          <w:p w:rsidR="00B72F61" w:rsidRPr="00E85451" w:rsidRDefault="00B72F61" w:rsidP="00B72F61">
            <w:pPr>
              <w:widowControl/>
              <w:jc w:val="right"/>
              <w:rPr>
                <w:rFonts w:ascii="Arial" w:hAnsi="Arial" w:cs="Arial"/>
                <w:color w:val="auto"/>
                <w:sz w:val="22"/>
                <w:szCs w:val="22"/>
              </w:rPr>
            </w:pPr>
            <w:r w:rsidRPr="00E85451">
              <w:rPr>
                <w:rFonts w:ascii="Arial" w:hAnsi="Arial" w:cs="Arial"/>
                <w:color w:val="auto"/>
                <w:sz w:val="22"/>
                <w:szCs w:val="22"/>
              </w:rPr>
              <w:t>80%</w:t>
            </w:r>
          </w:p>
        </w:tc>
        <w:tc>
          <w:tcPr>
            <w:tcW w:w="1559" w:type="dxa"/>
            <w:tcBorders>
              <w:top w:val="nil"/>
              <w:left w:val="nil"/>
              <w:bottom w:val="double" w:sz="6" w:space="0" w:color="auto"/>
              <w:right w:val="single" w:sz="4" w:space="0" w:color="auto"/>
            </w:tcBorders>
            <w:shd w:val="clear" w:color="000000" w:fill="FFFFFF"/>
            <w:noWrap/>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82.000,00 EUR</w:t>
            </w:r>
          </w:p>
        </w:tc>
        <w:tc>
          <w:tcPr>
            <w:tcW w:w="1701" w:type="dxa"/>
            <w:tcBorders>
              <w:top w:val="nil"/>
              <w:left w:val="nil"/>
              <w:bottom w:val="double" w:sz="6" w:space="0" w:color="auto"/>
              <w:right w:val="single" w:sz="8" w:space="0" w:color="auto"/>
            </w:tcBorders>
            <w:shd w:val="clear" w:color="000000" w:fill="FFFFFF"/>
            <w:noWrap/>
            <w:vAlign w:val="center"/>
            <w:hideMark/>
          </w:tcPr>
          <w:p w:rsidR="00B72F61" w:rsidRPr="00E85451" w:rsidRDefault="00B72F61" w:rsidP="00B72F61">
            <w:pPr>
              <w:widowControl/>
              <w:jc w:val="center"/>
              <w:rPr>
                <w:rFonts w:ascii="Arial" w:hAnsi="Arial" w:cs="Arial"/>
                <w:color w:val="auto"/>
                <w:sz w:val="22"/>
                <w:szCs w:val="22"/>
              </w:rPr>
            </w:pPr>
            <w:r w:rsidRPr="00E85451">
              <w:rPr>
                <w:rFonts w:ascii="Arial" w:hAnsi="Arial" w:cs="Arial"/>
                <w:color w:val="auto"/>
                <w:sz w:val="22"/>
                <w:szCs w:val="22"/>
              </w:rPr>
              <w:t>65.821,38 EUR</w:t>
            </w:r>
          </w:p>
        </w:tc>
        <w:tc>
          <w:tcPr>
            <w:tcW w:w="1545" w:type="dxa"/>
            <w:vMerge/>
            <w:tcBorders>
              <w:top w:val="nil"/>
              <w:left w:val="single" w:sz="8" w:space="0" w:color="auto"/>
              <w:bottom w:val="single" w:sz="8" w:space="0" w:color="000000"/>
              <w:right w:val="single" w:sz="8" w:space="0" w:color="auto"/>
            </w:tcBorders>
            <w:vAlign w:val="center"/>
            <w:hideMark/>
          </w:tcPr>
          <w:p w:rsidR="00B72F61" w:rsidRPr="00E85451" w:rsidRDefault="00B72F61" w:rsidP="00B72F61">
            <w:pPr>
              <w:widowControl/>
              <w:rPr>
                <w:rFonts w:ascii="Arial" w:hAnsi="Arial" w:cs="Arial"/>
                <w:color w:val="auto"/>
                <w:sz w:val="22"/>
                <w:szCs w:val="22"/>
              </w:rPr>
            </w:pPr>
          </w:p>
        </w:tc>
      </w:tr>
      <w:tr w:rsidR="00E85451" w:rsidRPr="00E85451" w:rsidTr="00301C6D">
        <w:trPr>
          <w:trHeight w:val="330"/>
        </w:trPr>
        <w:tc>
          <w:tcPr>
            <w:tcW w:w="1575" w:type="dxa"/>
            <w:vMerge/>
            <w:tcBorders>
              <w:top w:val="nil"/>
              <w:left w:val="single" w:sz="8" w:space="0" w:color="auto"/>
              <w:bottom w:val="single" w:sz="8" w:space="0" w:color="000000"/>
              <w:right w:val="single" w:sz="8" w:space="0" w:color="auto"/>
            </w:tcBorders>
            <w:vAlign w:val="center"/>
            <w:hideMark/>
          </w:tcPr>
          <w:p w:rsidR="00B72F61" w:rsidRPr="00E85451" w:rsidRDefault="00B72F61" w:rsidP="00B72F61">
            <w:pPr>
              <w:widowControl/>
              <w:rPr>
                <w:rFonts w:ascii="Arial" w:hAnsi="Arial" w:cs="Arial"/>
                <w:color w:val="auto"/>
                <w:sz w:val="22"/>
                <w:szCs w:val="22"/>
              </w:rPr>
            </w:pPr>
          </w:p>
        </w:tc>
        <w:tc>
          <w:tcPr>
            <w:tcW w:w="3827" w:type="dxa"/>
            <w:gridSpan w:val="2"/>
            <w:tcBorders>
              <w:top w:val="nil"/>
              <w:left w:val="nil"/>
              <w:bottom w:val="single" w:sz="8" w:space="0" w:color="auto"/>
              <w:right w:val="single" w:sz="4" w:space="0" w:color="auto"/>
            </w:tcBorders>
            <w:shd w:val="clear" w:color="000000" w:fill="FFFFFF"/>
            <w:noWrap/>
            <w:vAlign w:val="bottom"/>
            <w:hideMark/>
          </w:tcPr>
          <w:p w:rsidR="00B72F61" w:rsidRPr="00E85451" w:rsidRDefault="00B72F61" w:rsidP="00B72F61">
            <w:pPr>
              <w:widowControl/>
              <w:rPr>
                <w:rFonts w:ascii="Arial" w:hAnsi="Arial" w:cs="Arial"/>
                <w:i/>
                <w:iCs/>
                <w:color w:val="auto"/>
                <w:sz w:val="22"/>
                <w:szCs w:val="22"/>
              </w:rPr>
            </w:pPr>
            <w:r w:rsidRPr="00E85451">
              <w:rPr>
                <w:rFonts w:ascii="Arial" w:hAnsi="Arial" w:cs="Arial"/>
                <w:i/>
                <w:iCs/>
                <w:color w:val="auto"/>
                <w:sz w:val="22"/>
                <w:szCs w:val="22"/>
              </w:rPr>
              <w:t>UKUPNO</w:t>
            </w:r>
          </w:p>
        </w:tc>
        <w:tc>
          <w:tcPr>
            <w:tcW w:w="1559" w:type="dxa"/>
            <w:tcBorders>
              <w:top w:val="nil"/>
              <w:left w:val="nil"/>
              <w:bottom w:val="single" w:sz="8" w:space="0" w:color="auto"/>
              <w:right w:val="single" w:sz="4" w:space="0" w:color="auto"/>
            </w:tcBorders>
            <w:shd w:val="clear" w:color="000000" w:fill="FFFFFF"/>
            <w:noWrap/>
            <w:vAlign w:val="center"/>
            <w:hideMark/>
          </w:tcPr>
          <w:p w:rsidR="00B72F61" w:rsidRPr="00E85451" w:rsidRDefault="00B72F61" w:rsidP="00B72F61">
            <w:pPr>
              <w:widowControl/>
              <w:jc w:val="center"/>
              <w:rPr>
                <w:rFonts w:ascii="Arial" w:hAnsi="Arial" w:cs="Arial"/>
                <w:b/>
                <w:bCs/>
                <w:color w:val="auto"/>
                <w:sz w:val="22"/>
                <w:szCs w:val="22"/>
              </w:rPr>
            </w:pPr>
            <w:r w:rsidRPr="00E85451">
              <w:rPr>
                <w:rFonts w:ascii="Arial" w:hAnsi="Arial" w:cs="Arial"/>
                <w:b/>
                <w:bCs/>
                <w:color w:val="auto"/>
                <w:sz w:val="22"/>
                <w:szCs w:val="22"/>
              </w:rPr>
              <w:t>102.500,00 EUR</w:t>
            </w:r>
          </w:p>
        </w:tc>
        <w:tc>
          <w:tcPr>
            <w:tcW w:w="1701" w:type="dxa"/>
            <w:tcBorders>
              <w:top w:val="nil"/>
              <w:left w:val="nil"/>
              <w:bottom w:val="single" w:sz="8" w:space="0" w:color="auto"/>
              <w:right w:val="nil"/>
            </w:tcBorders>
            <w:shd w:val="clear" w:color="000000" w:fill="FFFFFF"/>
            <w:noWrap/>
            <w:vAlign w:val="center"/>
            <w:hideMark/>
          </w:tcPr>
          <w:p w:rsidR="00B72F61" w:rsidRPr="00E85451" w:rsidRDefault="00B72F61" w:rsidP="00B72F61">
            <w:pPr>
              <w:widowControl/>
              <w:jc w:val="center"/>
              <w:rPr>
                <w:rFonts w:ascii="Arial" w:hAnsi="Arial" w:cs="Arial"/>
                <w:b/>
                <w:bCs/>
                <w:color w:val="auto"/>
                <w:sz w:val="22"/>
                <w:szCs w:val="22"/>
              </w:rPr>
            </w:pPr>
            <w:r w:rsidRPr="00E85451">
              <w:rPr>
                <w:rFonts w:ascii="Arial" w:hAnsi="Arial" w:cs="Arial"/>
                <w:b/>
                <w:bCs/>
                <w:color w:val="auto"/>
                <w:sz w:val="22"/>
                <w:szCs w:val="22"/>
              </w:rPr>
              <w:t>82.276,73 EUR</w:t>
            </w:r>
          </w:p>
        </w:tc>
        <w:tc>
          <w:tcPr>
            <w:tcW w:w="1545" w:type="dxa"/>
            <w:vMerge/>
            <w:tcBorders>
              <w:top w:val="nil"/>
              <w:left w:val="single" w:sz="8" w:space="0" w:color="auto"/>
              <w:bottom w:val="single" w:sz="8" w:space="0" w:color="000000"/>
              <w:right w:val="single" w:sz="8" w:space="0" w:color="auto"/>
            </w:tcBorders>
            <w:vAlign w:val="center"/>
            <w:hideMark/>
          </w:tcPr>
          <w:p w:rsidR="00B72F61" w:rsidRPr="00E85451" w:rsidRDefault="00B72F61" w:rsidP="00B72F61">
            <w:pPr>
              <w:widowControl/>
              <w:rPr>
                <w:rFonts w:ascii="Arial" w:hAnsi="Arial" w:cs="Arial"/>
                <w:color w:val="auto"/>
                <w:sz w:val="22"/>
                <w:szCs w:val="22"/>
              </w:rPr>
            </w:pPr>
          </w:p>
        </w:tc>
      </w:tr>
    </w:tbl>
    <w:p w:rsidR="005E3AD9" w:rsidRPr="00E85451" w:rsidRDefault="005E3AD9" w:rsidP="007E4E76">
      <w:pPr>
        <w:ind w:right="-8"/>
        <w:jc w:val="both"/>
        <w:rPr>
          <w:rFonts w:ascii="Arial" w:hAnsi="Arial" w:cs="Arial"/>
          <w:b/>
          <w:color w:val="auto"/>
          <w:sz w:val="22"/>
          <w:szCs w:val="22"/>
        </w:rPr>
      </w:pPr>
    </w:p>
    <w:p w:rsidR="005E3AD9" w:rsidRPr="00E85451" w:rsidRDefault="005E3AD9" w:rsidP="007E4E76">
      <w:pPr>
        <w:ind w:right="-8"/>
        <w:jc w:val="both"/>
        <w:rPr>
          <w:rFonts w:ascii="Arial" w:hAnsi="Arial" w:cs="Arial"/>
          <w:b/>
          <w:color w:val="auto"/>
          <w:sz w:val="22"/>
          <w:szCs w:val="22"/>
        </w:rPr>
      </w:pPr>
    </w:p>
    <w:p w:rsidR="005E3AD9" w:rsidRPr="000F3158" w:rsidRDefault="008C2AC4" w:rsidP="00601741">
      <w:pPr>
        <w:pStyle w:val="Heading2"/>
        <w:rPr>
          <w:rFonts w:ascii="Arial" w:hAnsi="Arial" w:cs="Arial"/>
          <w:color w:val="auto"/>
          <w:sz w:val="24"/>
          <w:szCs w:val="24"/>
        </w:rPr>
      </w:pPr>
      <w:bookmarkStart w:id="22" w:name="_Toc419192158"/>
      <w:r w:rsidRPr="000F3158">
        <w:rPr>
          <w:rFonts w:ascii="Arial" w:hAnsi="Arial" w:cs="Arial"/>
          <w:color w:val="auto"/>
          <w:sz w:val="24"/>
          <w:szCs w:val="24"/>
        </w:rPr>
        <w:t>2.7. Euraxess (Odjel za mobilnost istraživača)</w:t>
      </w:r>
      <w:bookmarkEnd w:id="22"/>
    </w:p>
    <w:p w:rsidR="003504A5" w:rsidRPr="00E85451" w:rsidRDefault="003504A5" w:rsidP="003504A5">
      <w:pPr>
        <w:ind w:right="-8"/>
        <w:jc w:val="both"/>
        <w:rPr>
          <w:rFonts w:ascii="Arial" w:hAnsi="Arial" w:cs="Arial"/>
          <w:color w:val="auto"/>
          <w:sz w:val="22"/>
          <w:szCs w:val="22"/>
        </w:rPr>
      </w:pPr>
    </w:p>
    <w:tbl>
      <w:tblPr>
        <w:tblW w:w="9577" w:type="dxa"/>
        <w:tblInd w:w="-478" w:type="dxa"/>
        <w:tblLook w:val="0600" w:firstRow="0" w:lastRow="0" w:firstColumn="0" w:lastColumn="0" w:noHBand="1" w:noVBand="1"/>
      </w:tblPr>
      <w:tblGrid>
        <w:gridCol w:w="1560"/>
        <w:gridCol w:w="8017"/>
      </w:tblGrid>
      <w:tr w:rsidR="00E85451" w:rsidRPr="00E85451" w:rsidTr="00C50BEF">
        <w:tc>
          <w:tcPr>
            <w:tcW w:w="1560" w:type="dxa"/>
            <w:tcMar>
              <w:top w:w="88" w:type="dxa"/>
              <w:left w:w="88" w:type="dxa"/>
              <w:bottom w:w="88" w:type="dxa"/>
              <w:right w:w="88" w:type="dxa"/>
            </w:tcMar>
          </w:tcPr>
          <w:p w:rsidR="003504A5" w:rsidRPr="00E85451" w:rsidRDefault="003504A5" w:rsidP="003504A5">
            <w:pPr>
              <w:ind w:right="-8"/>
              <w:rPr>
                <w:rFonts w:ascii="Arial" w:hAnsi="Arial" w:cs="Arial"/>
                <w:color w:val="auto"/>
                <w:sz w:val="22"/>
                <w:szCs w:val="22"/>
              </w:rPr>
            </w:pPr>
            <w:r w:rsidRPr="00E85451">
              <w:rPr>
                <w:rFonts w:ascii="Arial" w:eastAsia="Arial" w:hAnsi="Arial" w:cs="Arial"/>
                <w:color w:val="auto"/>
                <w:sz w:val="22"/>
                <w:szCs w:val="22"/>
              </w:rPr>
              <w:t>Ukratko o programu i ciljevima:</w:t>
            </w:r>
          </w:p>
        </w:tc>
        <w:tc>
          <w:tcPr>
            <w:tcW w:w="8017" w:type="dxa"/>
            <w:tcMar>
              <w:top w:w="88" w:type="dxa"/>
              <w:left w:w="88" w:type="dxa"/>
              <w:bottom w:w="88" w:type="dxa"/>
              <w:right w:w="88" w:type="dxa"/>
            </w:tcMar>
          </w:tcPr>
          <w:p w:rsidR="003504A5" w:rsidRPr="00E85451" w:rsidRDefault="003504A5" w:rsidP="003504A5">
            <w:pPr>
              <w:ind w:right="-8"/>
              <w:jc w:val="both"/>
              <w:rPr>
                <w:rFonts w:ascii="Arial" w:hAnsi="Arial" w:cs="Arial"/>
                <w:color w:val="auto"/>
                <w:sz w:val="22"/>
                <w:szCs w:val="22"/>
              </w:rPr>
            </w:pPr>
            <w:r w:rsidRPr="00E85451">
              <w:rPr>
                <w:rFonts w:ascii="Arial" w:eastAsia="Arial" w:hAnsi="Arial" w:cs="Arial"/>
                <w:color w:val="auto"/>
                <w:sz w:val="22"/>
                <w:szCs w:val="22"/>
              </w:rPr>
              <w:t>EURAXESS je program Europske komisije, namijenjen povećavanju i olakšavanju mobilnosti istraživača i znanstvenika. EURAXESS mreža se sastoji od 40 europskih zemalja i preko 260 EURAXESS centara u svim većim gradovima Europe.</w:t>
            </w:r>
          </w:p>
          <w:p w:rsidR="003504A5" w:rsidRPr="00E85451" w:rsidRDefault="003504A5" w:rsidP="003504A5">
            <w:pPr>
              <w:ind w:right="-8"/>
              <w:jc w:val="both"/>
              <w:rPr>
                <w:rFonts w:ascii="Arial" w:hAnsi="Arial" w:cs="Arial"/>
                <w:color w:val="auto"/>
                <w:sz w:val="22"/>
                <w:szCs w:val="22"/>
              </w:rPr>
            </w:pPr>
            <w:r w:rsidRPr="00E85451">
              <w:rPr>
                <w:rFonts w:ascii="Arial" w:eastAsia="Arial" w:hAnsi="Arial" w:cs="Arial"/>
                <w:color w:val="auto"/>
                <w:sz w:val="22"/>
                <w:szCs w:val="22"/>
              </w:rPr>
              <w:t xml:space="preserve">Glavni je zadatak ovog programa pomagati stranim istraživačima i znanstvenicima prilikom dolaska u Hrvatsku na rad na znanstvenim projektima. </w:t>
            </w:r>
            <w:r w:rsidRPr="00E85451">
              <w:rPr>
                <w:rFonts w:ascii="Arial" w:eastAsia="Arial" w:hAnsi="Arial" w:cs="Arial"/>
                <w:color w:val="auto"/>
                <w:sz w:val="22"/>
                <w:szCs w:val="22"/>
              </w:rPr>
              <w:lastRenderedPageBreak/>
              <w:t xml:space="preserve">Osim stranim istraživačima, ovaj program pomaže i hrvatskim istraživačima da dobiju više informacija po pitanju realiziranja istraživačkog rada u inozemstvu, međunarodne suradnje i financijskih pomoći/stipendija. </w:t>
            </w:r>
          </w:p>
        </w:tc>
      </w:tr>
      <w:tr w:rsidR="00E85451" w:rsidRPr="00E85451" w:rsidTr="00C50BEF">
        <w:tc>
          <w:tcPr>
            <w:tcW w:w="1560" w:type="dxa"/>
            <w:tcMar>
              <w:top w:w="88" w:type="dxa"/>
              <w:left w:w="88" w:type="dxa"/>
              <w:bottom w:w="88" w:type="dxa"/>
              <w:right w:w="88" w:type="dxa"/>
            </w:tcMar>
          </w:tcPr>
          <w:p w:rsidR="003504A5" w:rsidRPr="00E85451" w:rsidRDefault="003504A5" w:rsidP="003504A5">
            <w:pPr>
              <w:ind w:right="-8"/>
              <w:rPr>
                <w:rFonts w:ascii="Arial" w:eastAsia="Arial" w:hAnsi="Arial" w:cs="Arial"/>
                <w:color w:val="auto"/>
                <w:sz w:val="22"/>
                <w:szCs w:val="22"/>
              </w:rPr>
            </w:pPr>
            <w:r w:rsidRPr="00E85451">
              <w:rPr>
                <w:rFonts w:ascii="Arial" w:eastAsia="Arial" w:hAnsi="Arial" w:cs="Arial"/>
                <w:color w:val="auto"/>
                <w:sz w:val="22"/>
                <w:szCs w:val="22"/>
              </w:rPr>
              <w:lastRenderedPageBreak/>
              <w:t>Pravna osnova</w:t>
            </w:r>
          </w:p>
        </w:tc>
        <w:tc>
          <w:tcPr>
            <w:tcW w:w="8017" w:type="dxa"/>
            <w:tcMar>
              <w:top w:w="88" w:type="dxa"/>
              <w:left w:w="88" w:type="dxa"/>
              <w:bottom w:w="88" w:type="dxa"/>
              <w:right w:w="88" w:type="dxa"/>
            </w:tcMar>
          </w:tcPr>
          <w:p w:rsidR="003504A5" w:rsidRPr="00E85451" w:rsidRDefault="00E742C6" w:rsidP="00E742C6">
            <w:pPr>
              <w:rPr>
                <w:rFonts w:ascii="Arial" w:eastAsia="Arial" w:hAnsi="Arial" w:cs="Arial"/>
                <w:color w:val="auto"/>
                <w:sz w:val="22"/>
                <w:szCs w:val="22"/>
                <w:highlight w:val="yellow"/>
              </w:rPr>
            </w:pPr>
            <w:r w:rsidRPr="00E85451">
              <w:rPr>
                <w:rFonts w:ascii="Arial" w:eastAsia="Arial" w:hAnsi="Arial" w:cs="Arial"/>
                <w:color w:val="auto"/>
                <w:sz w:val="22"/>
                <w:szCs w:val="22"/>
              </w:rPr>
              <w:t>Od 1. lipnja 2008., kada je Agencija za mobilnost i programe EU potpisala ugovor za HR-MOB projekt s Europskom komisijom i potom "Declaration of Commitment", postala je nacionalna koordinirajuća ustanova za EURAXESS Hrvatska.</w:t>
            </w:r>
          </w:p>
        </w:tc>
      </w:tr>
      <w:tr w:rsidR="00E85451" w:rsidRPr="00E85451" w:rsidTr="00C50BEF">
        <w:tc>
          <w:tcPr>
            <w:tcW w:w="1560" w:type="dxa"/>
            <w:tcMar>
              <w:top w:w="88" w:type="dxa"/>
              <w:left w:w="88" w:type="dxa"/>
              <w:bottom w:w="88" w:type="dxa"/>
              <w:right w:w="88" w:type="dxa"/>
            </w:tcMar>
          </w:tcPr>
          <w:p w:rsidR="003504A5" w:rsidRPr="00E85451" w:rsidRDefault="003504A5" w:rsidP="003504A5">
            <w:pPr>
              <w:ind w:right="-8"/>
              <w:jc w:val="both"/>
              <w:rPr>
                <w:rFonts w:ascii="Arial" w:hAnsi="Arial" w:cs="Arial"/>
                <w:color w:val="auto"/>
                <w:sz w:val="22"/>
                <w:szCs w:val="22"/>
              </w:rPr>
            </w:pPr>
            <w:r w:rsidRPr="00E85451">
              <w:rPr>
                <w:rFonts w:ascii="Arial" w:eastAsia="Arial" w:hAnsi="Arial" w:cs="Arial"/>
                <w:color w:val="auto"/>
                <w:sz w:val="22"/>
                <w:szCs w:val="22"/>
              </w:rPr>
              <w:t>Poduzete aktivnosti tijekom 2014.g.</w:t>
            </w:r>
          </w:p>
        </w:tc>
        <w:tc>
          <w:tcPr>
            <w:tcW w:w="8017" w:type="dxa"/>
            <w:tcMar>
              <w:top w:w="88" w:type="dxa"/>
              <w:left w:w="88" w:type="dxa"/>
              <w:bottom w:w="88" w:type="dxa"/>
              <w:right w:w="88" w:type="dxa"/>
            </w:tcMar>
          </w:tcPr>
          <w:p w:rsidR="003504A5" w:rsidRPr="00E85451" w:rsidRDefault="003504A5" w:rsidP="003504A5">
            <w:pPr>
              <w:ind w:right="-8"/>
              <w:jc w:val="both"/>
              <w:rPr>
                <w:rFonts w:ascii="Arial" w:eastAsia="Arial" w:hAnsi="Arial" w:cs="Arial"/>
                <w:color w:val="auto"/>
                <w:sz w:val="22"/>
                <w:szCs w:val="22"/>
              </w:rPr>
            </w:pPr>
            <w:r w:rsidRPr="00E85451">
              <w:rPr>
                <w:rFonts w:ascii="Arial" w:eastAsia="Arial" w:hAnsi="Arial" w:cs="Arial"/>
                <w:color w:val="auto"/>
                <w:sz w:val="22"/>
                <w:szCs w:val="22"/>
              </w:rPr>
              <w:t>U prvoj polovici 2014. godine dio nacionalnih kontakt osoba za Obzor 2020. bio je u Odjelu za mobilnost istraživača (nacionalne kontakt osobe za: Marie Sklodowska Curie, Zdravlje, demografske promjene i kvaliteta života, Sigurna, čista i učinkovita energija, Pametan, zeleni i integrirani promet, te pravna i financijska pitanja u Obzor 2020.). Djelatnici odjela odradili su sljedeće aktivnosti:</w:t>
            </w:r>
          </w:p>
          <w:p w:rsidR="003504A5" w:rsidRPr="00E85451" w:rsidRDefault="003504A5" w:rsidP="003504A5">
            <w:pPr>
              <w:numPr>
                <w:ilvl w:val="0"/>
                <w:numId w:val="11"/>
              </w:numPr>
              <w:ind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Svakodnevno pružanje savjetodavne pomoći korisnicima u svojstvu nacionalnih kontakt osoba te</w:t>
            </w:r>
            <w:r w:rsidR="004C6FCD" w:rsidRPr="00E85451">
              <w:rPr>
                <w:rFonts w:ascii="Arial" w:eastAsia="Arial" w:hAnsi="Arial" w:cs="Arial"/>
                <w:color w:val="auto"/>
                <w:sz w:val="22"/>
                <w:szCs w:val="22"/>
              </w:rPr>
              <w:t xml:space="preserve"> </w:t>
            </w:r>
            <w:r w:rsidRPr="00E85451">
              <w:rPr>
                <w:rFonts w:ascii="Arial" w:eastAsia="Arial" w:hAnsi="Arial" w:cs="Arial"/>
                <w:color w:val="auto"/>
                <w:sz w:val="22"/>
                <w:szCs w:val="22"/>
              </w:rPr>
              <w:t>kroz EURAXESS Help desk (individualna savjetovanja, telefonski, e-mailom)</w:t>
            </w:r>
          </w:p>
          <w:p w:rsidR="003504A5" w:rsidRPr="00E85451" w:rsidRDefault="003504A5" w:rsidP="003504A5">
            <w:pPr>
              <w:numPr>
                <w:ilvl w:val="0"/>
                <w:numId w:val="11"/>
              </w:numPr>
              <w:ind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xml:space="preserve">Organizacija informativnih dana i radionica vezanih za EURAXESS program, Marie Sklodowska Curie akcije i pravna i financijska pitanja u Obzor 2020. programu. </w:t>
            </w:r>
          </w:p>
          <w:p w:rsidR="003504A5" w:rsidRPr="00E85451" w:rsidRDefault="003504A5" w:rsidP="003504A5">
            <w:pPr>
              <w:numPr>
                <w:ilvl w:val="0"/>
                <w:numId w:val="11"/>
              </w:numPr>
              <w:ind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Sudjelovanje u izmjenama zakonodavstva vezanog uz prepreke u mobilnosti istraživača i prepreke u provedbi projekata financiranih Okvirnim programima za istraživanje.</w:t>
            </w:r>
          </w:p>
          <w:p w:rsidR="003504A5" w:rsidRPr="00E85451" w:rsidRDefault="003504A5" w:rsidP="003504A5">
            <w:pPr>
              <w:numPr>
                <w:ilvl w:val="0"/>
                <w:numId w:val="11"/>
              </w:numPr>
              <w:ind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Suradnja s Europskom komisijom</w:t>
            </w:r>
            <w:r w:rsidR="0017465A" w:rsidRPr="00E85451">
              <w:rPr>
                <w:rFonts w:ascii="Arial" w:eastAsia="Arial" w:hAnsi="Arial" w:cs="Arial"/>
                <w:color w:val="auto"/>
                <w:sz w:val="22"/>
                <w:szCs w:val="22"/>
              </w:rPr>
              <w:t xml:space="preserve"> te ministarstvima i ostalim tijelima važnim za provođenje aktivnosti</w:t>
            </w:r>
          </w:p>
          <w:p w:rsidR="005E3AD9" w:rsidRPr="00E85451" w:rsidRDefault="003504A5" w:rsidP="007E4E76">
            <w:pPr>
              <w:numPr>
                <w:ilvl w:val="0"/>
                <w:numId w:val="11"/>
              </w:numPr>
              <w:ind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xml:space="preserve">Sudjelovanje u implementaciji FP7 projekata i sudjelovanje u pripremi Obzor 2020. projekata </w:t>
            </w:r>
          </w:p>
          <w:p w:rsidR="005E3AD9" w:rsidRPr="00E85451" w:rsidRDefault="0017465A" w:rsidP="007E4E76">
            <w:pPr>
              <w:numPr>
                <w:ilvl w:val="0"/>
                <w:numId w:val="11"/>
              </w:numPr>
              <w:ind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Izrada p</w:t>
            </w:r>
            <w:r w:rsidR="00772E22" w:rsidRPr="00E85451">
              <w:rPr>
                <w:rFonts w:ascii="Arial" w:eastAsia="Arial" w:hAnsi="Arial" w:cs="Arial"/>
                <w:color w:val="auto"/>
                <w:sz w:val="22"/>
                <w:szCs w:val="22"/>
              </w:rPr>
              <w:t>rocedure za financijsko vođenje projekata financiranih Okvirnim programima</w:t>
            </w:r>
          </w:p>
          <w:p w:rsidR="005E3AD9" w:rsidRPr="00E85451" w:rsidRDefault="003504A5" w:rsidP="007E4E76">
            <w:pPr>
              <w:numPr>
                <w:ilvl w:val="0"/>
                <w:numId w:val="11"/>
              </w:numPr>
              <w:ind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Prijavljivanje i provođenje FP7 projekata:</w:t>
            </w:r>
          </w:p>
          <w:p w:rsidR="00772E22" w:rsidRPr="00E85451" w:rsidRDefault="00772E22" w:rsidP="003504A5">
            <w:pPr>
              <w:ind w:right="-8"/>
              <w:jc w:val="both"/>
              <w:rPr>
                <w:rFonts w:ascii="Arial" w:eastAsia="Arial" w:hAnsi="Arial" w:cs="Arial"/>
                <w:color w:val="auto"/>
                <w:sz w:val="22"/>
                <w:szCs w:val="22"/>
              </w:rPr>
            </w:pPr>
          </w:p>
          <w:p w:rsidR="003504A5" w:rsidRPr="00E85451" w:rsidRDefault="003504A5" w:rsidP="003504A5">
            <w:pPr>
              <w:ind w:right="-8"/>
              <w:jc w:val="both"/>
              <w:rPr>
                <w:rFonts w:ascii="Arial" w:eastAsia="Arial" w:hAnsi="Arial" w:cs="Arial"/>
                <w:color w:val="auto"/>
                <w:sz w:val="22"/>
                <w:szCs w:val="22"/>
              </w:rPr>
            </w:pPr>
            <w:r w:rsidRPr="00E85451">
              <w:rPr>
                <w:rFonts w:ascii="Arial" w:eastAsia="Arial" w:hAnsi="Arial" w:cs="Arial"/>
                <w:color w:val="auto"/>
                <w:sz w:val="22"/>
                <w:szCs w:val="22"/>
              </w:rPr>
              <w:t>U 2014. godini Odjel za mobilnost istraživača radio je na implementaciji dva projekta i na pripremi tri projektna prijedloga:</w:t>
            </w:r>
          </w:p>
          <w:p w:rsidR="003504A5" w:rsidRPr="00E85451" w:rsidRDefault="003504A5" w:rsidP="003504A5">
            <w:pPr>
              <w:numPr>
                <w:ilvl w:val="0"/>
                <w:numId w:val="7"/>
              </w:numPr>
              <w:ind w:right="-8"/>
              <w:jc w:val="both"/>
              <w:rPr>
                <w:rFonts w:ascii="Arial" w:eastAsia="Arial" w:hAnsi="Arial" w:cs="Arial"/>
                <w:color w:val="auto"/>
                <w:sz w:val="22"/>
                <w:szCs w:val="22"/>
              </w:rPr>
            </w:pPr>
            <w:r w:rsidRPr="00E85451">
              <w:rPr>
                <w:rFonts w:ascii="Arial" w:eastAsia="Arial" w:hAnsi="Arial" w:cs="Arial"/>
                <w:color w:val="auto"/>
                <w:sz w:val="22"/>
                <w:szCs w:val="22"/>
              </w:rPr>
              <w:t>“Trans-national operation of the ‘EURAXESS - services network II’ - EURAXESS II koji je započeo u siječnju 2012. godine. Cilj projekta je podrška EURAXESS mreži kroz organizirane treninge, studijske posjete i web priručnik. Također, projektom se želi unaprijediti kvaliteta nacionalnih mrežnih stranica kako bi istraživači raspolagali točnim i relevantnim informacijama. AMPEU je sudjelovala kao voditelj radnog paketa 4 i voditelj radnog zadatka 2.5.</w:t>
            </w:r>
          </w:p>
          <w:p w:rsidR="003504A5" w:rsidRPr="00E85451" w:rsidRDefault="003504A5" w:rsidP="003504A5">
            <w:pPr>
              <w:numPr>
                <w:ilvl w:val="0"/>
                <w:numId w:val="7"/>
              </w:numPr>
              <w:ind w:right="-8"/>
              <w:jc w:val="both"/>
              <w:rPr>
                <w:rFonts w:ascii="Arial" w:eastAsia="Arial" w:hAnsi="Arial" w:cs="Arial"/>
                <w:color w:val="auto"/>
                <w:sz w:val="22"/>
                <w:szCs w:val="22"/>
              </w:rPr>
            </w:pPr>
            <w:r w:rsidRPr="00E85451">
              <w:rPr>
                <w:rFonts w:ascii="Arial" w:eastAsia="Arial" w:hAnsi="Arial" w:cs="Arial"/>
                <w:color w:val="auto"/>
                <w:sz w:val="22"/>
                <w:szCs w:val="22"/>
              </w:rPr>
              <w:t>“Bringing EURAXESS in Western Balkans closer to Innovation Union: An example of Regional Collaboration” - WeB-InUnion: jedan od uspješnih projektnih prijedloga na EURAXESS natječaju iz 2012. godine. Projekt teži komunikaciji s istraživačima iz dijaspore, provođenju Povelje i Kodeksa u zemljama zapadnog Balkana te uklanjanju preostalih prepreka u mobilnosti istraživača. AMPEU je sudjelovala kao voditelj radnog paketa 2, te voditelj radnih zadataka 2.1. i 2.3.</w:t>
            </w:r>
          </w:p>
          <w:p w:rsidR="003504A5" w:rsidRPr="00E85451" w:rsidRDefault="003504A5" w:rsidP="003504A5">
            <w:pPr>
              <w:numPr>
                <w:ilvl w:val="0"/>
                <w:numId w:val="7"/>
              </w:numPr>
              <w:ind w:right="-8"/>
              <w:jc w:val="both"/>
              <w:rPr>
                <w:rFonts w:ascii="Arial" w:hAnsi="Arial" w:cs="Arial"/>
                <w:color w:val="auto"/>
                <w:sz w:val="22"/>
                <w:szCs w:val="22"/>
              </w:rPr>
            </w:pPr>
            <w:r w:rsidRPr="00E85451">
              <w:rPr>
                <w:rFonts w:ascii="Arial" w:hAnsi="Arial" w:cs="Arial"/>
                <w:color w:val="auto"/>
                <w:sz w:val="22"/>
                <w:szCs w:val="22"/>
              </w:rPr>
              <w:t xml:space="preserve">„Making European research careers more attractive by developing new services and enhancing the current services of the EURAXESS network“ – EURAXESS TOP III: cilj projekta je daljnja podrška članovima EURAXESS mreže, te unapređenje novih EURAXESS usluga poput centara za razvoj karijera istraživača. Tijekom 2014. pripremao se projektni prijedlog, a provedba projekta će započeti sredinom 2015. </w:t>
            </w:r>
            <w:r w:rsidRPr="00E85451">
              <w:rPr>
                <w:rFonts w:ascii="Arial" w:hAnsi="Arial" w:cs="Arial"/>
                <w:color w:val="auto"/>
                <w:sz w:val="22"/>
                <w:szCs w:val="22"/>
              </w:rPr>
              <w:lastRenderedPageBreak/>
              <w:t>godine. AMPEU će sudjelovati kao voditelj radnog paketa 6, te voditelj radnih zadataka 6.4. i 6.6.</w:t>
            </w:r>
          </w:p>
          <w:p w:rsidR="003504A5" w:rsidRPr="00E85451" w:rsidRDefault="003504A5" w:rsidP="003504A5">
            <w:pPr>
              <w:numPr>
                <w:ilvl w:val="0"/>
                <w:numId w:val="7"/>
              </w:numPr>
              <w:ind w:right="-8"/>
              <w:jc w:val="both"/>
              <w:rPr>
                <w:rFonts w:ascii="Arial" w:hAnsi="Arial" w:cs="Arial"/>
                <w:color w:val="auto"/>
                <w:sz w:val="22"/>
                <w:szCs w:val="22"/>
              </w:rPr>
            </w:pPr>
            <w:r w:rsidRPr="00E85451">
              <w:rPr>
                <w:rFonts w:ascii="Arial" w:hAnsi="Arial" w:cs="Arial"/>
                <w:color w:val="auto"/>
                <w:sz w:val="22"/>
                <w:szCs w:val="22"/>
              </w:rPr>
              <w:t>„Network of the Marie Skłodowska-Curie Actions National Contact Points“ - Net4Mobility: cilj projekta je uspostavljanje transnacionalne suradnje između nacionalnih kontakt osoba za Marie Sklodowska-Curie akcije. Tijekom 2014. pripremao se projektni prijedlog, a projekt će započeti početkom 2015. godine. AMPEU će sudjelovati kao voditelj radnog zadatka 2.4.</w:t>
            </w:r>
          </w:p>
          <w:p w:rsidR="003504A5" w:rsidRPr="00E85451" w:rsidRDefault="003504A5" w:rsidP="003504A5">
            <w:pPr>
              <w:numPr>
                <w:ilvl w:val="0"/>
                <w:numId w:val="7"/>
              </w:numPr>
              <w:ind w:right="-8"/>
              <w:jc w:val="both"/>
              <w:rPr>
                <w:rFonts w:ascii="Arial" w:hAnsi="Arial" w:cs="Arial"/>
                <w:color w:val="auto"/>
                <w:sz w:val="22"/>
                <w:szCs w:val="22"/>
              </w:rPr>
            </w:pPr>
            <w:r w:rsidRPr="00E85451">
              <w:rPr>
                <w:rFonts w:ascii="Arial" w:hAnsi="Arial" w:cs="Arial"/>
                <w:color w:val="auto"/>
                <w:sz w:val="22"/>
                <w:szCs w:val="22"/>
              </w:rPr>
              <w:t>Noć istraživača 2014: cilj projekta je popularizacija znanosti. U ožujku 2014. Agencija je u svojstvu koordinatora sa partnerima iz tri hrvatska grada (Zagreb, Rijeka i Osijek) prijavila novi projekt Noć istraživača 2014.-2015. Odlukom Komisije projekt nije financiran.</w:t>
            </w:r>
          </w:p>
        </w:tc>
      </w:tr>
      <w:tr w:rsidR="00E85451" w:rsidRPr="00E85451" w:rsidTr="00C50BEF">
        <w:trPr>
          <w:trHeight w:val="1740"/>
        </w:trPr>
        <w:tc>
          <w:tcPr>
            <w:tcW w:w="1560" w:type="dxa"/>
            <w:tcMar>
              <w:top w:w="88" w:type="dxa"/>
              <w:left w:w="88" w:type="dxa"/>
              <w:bottom w:w="88" w:type="dxa"/>
              <w:right w:w="88" w:type="dxa"/>
            </w:tcMar>
          </w:tcPr>
          <w:p w:rsidR="003504A5" w:rsidRPr="00E85451" w:rsidRDefault="003504A5" w:rsidP="003504A5">
            <w:pPr>
              <w:ind w:right="-8"/>
              <w:jc w:val="both"/>
              <w:rPr>
                <w:rFonts w:ascii="Arial" w:hAnsi="Arial" w:cs="Arial"/>
                <w:color w:val="auto"/>
                <w:sz w:val="22"/>
                <w:szCs w:val="22"/>
              </w:rPr>
            </w:pPr>
            <w:r w:rsidRPr="00E85451">
              <w:rPr>
                <w:rFonts w:ascii="Arial" w:eastAsia="Arial" w:hAnsi="Arial" w:cs="Arial"/>
                <w:color w:val="auto"/>
                <w:sz w:val="22"/>
                <w:szCs w:val="22"/>
              </w:rPr>
              <w:lastRenderedPageBreak/>
              <w:t>Informativna, promotivna i potporna događanja</w:t>
            </w:r>
          </w:p>
        </w:tc>
        <w:tc>
          <w:tcPr>
            <w:tcW w:w="8017" w:type="dxa"/>
            <w:tcMar>
              <w:top w:w="88" w:type="dxa"/>
              <w:left w:w="88" w:type="dxa"/>
              <w:bottom w:w="88" w:type="dxa"/>
              <w:right w:w="88" w:type="dxa"/>
            </w:tcMar>
          </w:tcPr>
          <w:p w:rsidR="003504A5" w:rsidRPr="00E85451" w:rsidRDefault="003504A5" w:rsidP="003504A5">
            <w:pPr>
              <w:ind w:right="-8"/>
              <w:jc w:val="both"/>
              <w:rPr>
                <w:rFonts w:ascii="Arial" w:eastAsia="Arial" w:hAnsi="Arial" w:cs="Arial"/>
                <w:color w:val="auto"/>
                <w:sz w:val="22"/>
                <w:szCs w:val="22"/>
              </w:rPr>
            </w:pPr>
            <w:r w:rsidRPr="00E85451">
              <w:rPr>
                <w:rFonts w:ascii="Arial" w:eastAsia="Arial" w:hAnsi="Arial" w:cs="Arial"/>
                <w:color w:val="auto"/>
                <w:sz w:val="22"/>
                <w:szCs w:val="22"/>
              </w:rPr>
              <w:t>Događaji u organizaciji Odjela za mobilnost istraživača:</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10.01.2014 – Info dan: Marie Sklodowska Curie i Zdravlje, demografske promjene i kvaliteta života, pravna i financijska pitanja</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15.01.2014. – Info dan: Sigurna, čista i učinkovita energija,</w:t>
            </w:r>
            <w:r w:rsidRPr="00E85451">
              <w:rPr>
                <w:rFonts w:ascii="Arial" w:hAnsi="Arial" w:cs="Arial"/>
                <w:color w:val="auto"/>
                <w:sz w:val="22"/>
                <w:szCs w:val="22"/>
              </w:rPr>
              <w:t xml:space="preserve"> </w:t>
            </w:r>
            <w:r w:rsidRPr="00E85451">
              <w:rPr>
                <w:rFonts w:ascii="Arial" w:eastAsia="Arial" w:hAnsi="Arial" w:cs="Arial"/>
                <w:color w:val="auto"/>
                <w:sz w:val="22"/>
                <w:szCs w:val="22"/>
              </w:rPr>
              <w:t>pravna i financijska pitanja</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17.01.2014.- Info dan: Pametan, zeleni i integrirani promet,</w:t>
            </w:r>
            <w:r w:rsidRPr="00E85451">
              <w:rPr>
                <w:rFonts w:ascii="Arial" w:hAnsi="Arial" w:cs="Arial"/>
                <w:color w:val="auto"/>
                <w:sz w:val="22"/>
                <w:szCs w:val="22"/>
              </w:rPr>
              <w:t xml:space="preserve"> </w:t>
            </w:r>
            <w:r w:rsidRPr="00E85451">
              <w:rPr>
                <w:rFonts w:ascii="Arial" w:eastAsia="Arial" w:hAnsi="Arial" w:cs="Arial"/>
                <w:color w:val="auto"/>
                <w:sz w:val="22"/>
                <w:szCs w:val="22"/>
              </w:rPr>
              <w:t>pravna i financijska pitanja</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04.-06.02.2014. – Međunarodni twinning za NCPeve MSCA mreže</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03.04.2014. – EURAXESS Roadshow i promocija MSCA</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04.04.2014. – MSCA konferencija "Bridging Business and Research“</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19.-20.05.2014. – Radionica za EURAXESS lokalne kontakt točke</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29.05.2014.</w:t>
            </w:r>
            <w:r w:rsidRPr="00E85451">
              <w:rPr>
                <w:rFonts w:ascii="Arial" w:hAnsi="Arial" w:cs="Arial"/>
                <w:color w:val="auto"/>
                <w:sz w:val="22"/>
                <w:szCs w:val="22"/>
              </w:rPr>
              <w:t xml:space="preserve"> - </w:t>
            </w:r>
            <w:r w:rsidRPr="00E85451">
              <w:rPr>
                <w:rFonts w:ascii="Arial" w:eastAsia="Arial" w:hAnsi="Arial" w:cs="Arial"/>
                <w:color w:val="auto"/>
                <w:sz w:val="22"/>
                <w:szCs w:val="22"/>
              </w:rPr>
              <w:t>jednodnevna radionica: MSCA trening za pisanje projekata</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30.05.2014. – jednodnevna radionica: MSCA trening za pisanje projekata</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03.06.2014. - Info dan: Zdravlje, demografske promjene i kvaliteta života </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12.06.2014. - sastanak s ustanovama dobitnicima priznanja Europske komisije “HR Excellence in Research”</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21.11.2014. – Info dan: Marie Sklodowska- Curie akcije - ITN</w:t>
            </w:r>
          </w:p>
          <w:p w:rsidR="003504A5" w:rsidRPr="00E85451" w:rsidRDefault="003504A5" w:rsidP="003504A5">
            <w:pPr>
              <w:ind w:left="720" w:right="-8"/>
              <w:jc w:val="both"/>
              <w:rPr>
                <w:rFonts w:ascii="Arial" w:eastAsia="Arial" w:hAnsi="Arial" w:cs="Arial"/>
                <w:color w:val="auto"/>
                <w:sz w:val="22"/>
                <w:szCs w:val="22"/>
              </w:rPr>
            </w:pPr>
          </w:p>
          <w:p w:rsidR="003504A5" w:rsidRPr="00E85451" w:rsidRDefault="003504A5" w:rsidP="003504A5">
            <w:pPr>
              <w:ind w:right="-8"/>
              <w:jc w:val="both"/>
              <w:rPr>
                <w:rFonts w:ascii="Arial" w:eastAsia="Arial" w:hAnsi="Arial" w:cs="Arial"/>
                <w:color w:val="auto"/>
                <w:sz w:val="22"/>
                <w:szCs w:val="22"/>
              </w:rPr>
            </w:pPr>
            <w:r w:rsidRPr="00E85451">
              <w:rPr>
                <w:rFonts w:ascii="Arial" w:eastAsia="Arial" w:hAnsi="Arial" w:cs="Arial"/>
                <w:color w:val="auto"/>
                <w:sz w:val="22"/>
                <w:szCs w:val="22"/>
              </w:rPr>
              <w:t>Nacionalne kontakt osobe za pravo i financije sudjelovale su na dodatnih 5 događaja organiziranih u sklopu Obzor 2020. info dana.</w:t>
            </w:r>
          </w:p>
          <w:p w:rsidR="003504A5" w:rsidRPr="00E85451" w:rsidRDefault="003504A5" w:rsidP="003504A5">
            <w:pPr>
              <w:ind w:right="-8"/>
              <w:jc w:val="both"/>
              <w:rPr>
                <w:rFonts w:ascii="Arial" w:eastAsia="Arial" w:hAnsi="Arial" w:cs="Arial"/>
                <w:color w:val="auto"/>
                <w:sz w:val="22"/>
                <w:szCs w:val="22"/>
              </w:rPr>
            </w:pPr>
          </w:p>
          <w:p w:rsidR="003504A5" w:rsidRPr="00E85451" w:rsidRDefault="003504A5" w:rsidP="003504A5">
            <w:pPr>
              <w:ind w:right="-8"/>
              <w:jc w:val="both"/>
              <w:rPr>
                <w:rFonts w:ascii="Arial" w:eastAsia="Arial" w:hAnsi="Arial" w:cs="Arial"/>
                <w:color w:val="auto"/>
                <w:sz w:val="22"/>
                <w:szCs w:val="22"/>
              </w:rPr>
            </w:pPr>
            <w:r w:rsidRPr="00E85451">
              <w:rPr>
                <w:rFonts w:ascii="Arial" w:eastAsia="Arial" w:hAnsi="Arial" w:cs="Arial"/>
                <w:color w:val="auto"/>
                <w:sz w:val="22"/>
                <w:szCs w:val="22"/>
              </w:rPr>
              <w:t>Događaji u organizaciji drugih institucija na kojima su djelatnici Odjela za mobilnost istraživača gostovali:</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13.01.2014. – PBF - Info dan: </w:t>
            </w:r>
            <w:r w:rsidRPr="00E85451">
              <w:rPr>
                <w:rFonts w:ascii="Arial" w:hAnsi="Arial" w:cs="Arial"/>
                <w:color w:val="auto"/>
                <w:sz w:val="22"/>
                <w:szCs w:val="22"/>
              </w:rPr>
              <w:t>Hrana + Biotehnologija, pravo i financije</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27.01.2014. – MZOS - Info dan: FET, ERI, pravo i financije</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30.01.2014. – Agronomski fakultet - Info dan:  </w:t>
            </w:r>
            <w:r w:rsidRPr="00E85451">
              <w:rPr>
                <w:rFonts w:ascii="Arial" w:hAnsi="Arial" w:cs="Arial"/>
                <w:color w:val="auto"/>
                <w:sz w:val="22"/>
                <w:szCs w:val="22"/>
              </w:rPr>
              <w:t>Hrana + Biotehnologija, pravo i financije</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03.02.2014. - MZOS - Info dan: ERC, pravo i financije</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06.02.2014. – FER – Transport – Shift2Rail</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24.02.2014. – StepRi - Obzor 2020. info dan</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28.02.2014. – FER – Info dan: Access to finance, SME instrument, pravo i financije</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17.03.2014. – FFZG – Info dan: SC6, pravo i financije</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13.05.2014. – UniZD – Info dan: MSCA</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15.05.2014. – HGK: Zagrebački energetski tjedan</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26.05.2014. – Riječki energetski tjedan</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27.05.2014. – UniZG: Susreti industrije i istraživača</w:t>
            </w:r>
          </w:p>
          <w:p w:rsidR="003504A5" w:rsidRPr="00E85451"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30.05.2014. – Poreč: Info dan za poduzetnike </w:t>
            </w:r>
          </w:p>
          <w:p w:rsidR="003504A5" w:rsidRPr="002C0E99" w:rsidRDefault="003504A5" w:rsidP="003504A5">
            <w:pPr>
              <w:numPr>
                <w:ilvl w:val="0"/>
                <w:numId w:val="8"/>
              </w:numPr>
              <w:ind w:right="-8"/>
              <w:jc w:val="both"/>
              <w:rPr>
                <w:rFonts w:ascii="Arial" w:eastAsia="Arial" w:hAnsi="Arial" w:cs="Arial"/>
                <w:color w:val="auto"/>
                <w:sz w:val="22"/>
                <w:szCs w:val="22"/>
              </w:rPr>
            </w:pPr>
            <w:r w:rsidRPr="00E85451">
              <w:rPr>
                <w:rFonts w:ascii="Arial" w:eastAsia="Arial" w:hAnsi="Arial" w:cs="Arial"/>
                <w:color w:val="auto"/>
                <w:sz w:val="22"/>
                <w:szCs w:val="22"/>
              </w:rPr>
              <w:t>02.12.2014. – Split: Info dan: obzor 2020., ICT, pravo i financije</w:t>
            </w:r>
          </w:p>
        </w:tc>
      </w:tr>
      <w:tr w:rsidR="00E85451" w:rsidRPr="00E85451" w:rsidTr="00C50BEF">
        <w:tc>
          <w:tcPr>
            <w:tcW w:w="1560" w:type="dxa"/>
            <w:tcMar>
              <w:top w:w="88" w:type="dxa"/>
              <w:left w:w="88" w:type="dxa"/>
              <w:bottom w:w="88" w:type="dxa"/>
              <w:right w:w="88" w:type="dxa"/>
            </w:tcMar>
          </w:tcPr>
          <w:p w:rsidR="003504A5" w:rsidRPr="00E85451" w:rsidRDefault="003504A5" w:rsidP="003504A5">
            <w:pPr>
              <w:ind w:right="-8"/>
              <w:jc w:val="both"/>
              <w:rPr>
                <w:rFonts w:ascii="Arial" w:hAnsi="Arial" w:cs="Arial"/>
                <w:color w:val="auto"/>
                <w:sz w:val="22"/>
                <w:szCs w:val="22"/>
              </w:rPr>
            </w:pPr>
            <w:r w:rsidRPr="00E85451">
              <w:rPr>
                <w:rFonts w:ascii="Arial" w:eastAsia="Arial" w:hAnsi="Arial" w:cs="Arial"/>
                <w:color w:val="auto"/>
                <w:sz w:val="22"/>
                <w:szCs w:val="22"/>
              </w:rPr>
              <w:lastRenderedPageBreak/>
              <w:t>Postignuti rezultati</w:t>
            </w:r>
          </w:p>
        </w:tc>
        <w:tc>
          <w:tcPr>
            <w:tcW w:w="8017" w:type="dxa"/>
            <w:tcMar>
              <w:top w:w="88" w:type="dxa"/>
              <w:left w:w="88" w:type="dxa"/>
              <w:bottom w:w="88" w:type="dxa"/>
              <w:right w:w="88" w:type="dxa"/>
            </w:tcMar>
          </w:tcPr>
          <w:p w:rsidR="003504A5" w:rsidRPr="00E85451" w:rsidRDefault="003504A5" w:rsidP="003504A5">
            <w:pPr>
              <w:numPr>
                <w:ilvl w:val="0"/>
                <w:numId w:val="9"/>
              </w:numPr>
              <w:ind w:right="-8"/>
              <w:rPr>
                <w:rFonts w:ascii="Arial" w:eastAsia="Arial" w:hAnsi="Arial" w:cs="Arial"/>
                <w:color w:val="auto"/>
                <w:sz w:val="22"/>
                <w:szCs w:val="22"/>
              </w:rPr>
            </w:pPr>
            <w:r w:rsidRPr="00E85451">
              <w:rPr>
                <w:rFonts w:ascii="Arial" w:eastAsia="Arial" w:hAnsi="Arial" w:cs="Arial"/>
                <w:color w:val="auto"/>
                <w:sz w:val="22"/>
                <w:szCs w:val="22"/>
              </w:rPr>
              <w:t>Odgovoreno na 309 upita</w:t>
            </w:r>
          </w:p>
          <w:p w:rsidR="003504A5" w:rsidRPr="00E85451" w:rsidRDefault="003504A5" w:rsidP="003504A5">
            <w:pPr>
              <w:numPr>
                <w:ilvl w:val="0"/>
                <w:numId w:val="9"/>
              </w:numPr>
              <w:ind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Zaključena dva natječaja putem kojih su zaposlene dvije nove djelatnice</w:t>
            </w:r>
          </w:p>
          <w:p w:rsidR="003504A5" w:rsidRPr="00E85451" w:rsidRDefault="003504A5" w:rsidP="003504A5">
            <w:pPr>
              <w:numPr>
                <w:ilvl w:val="0"/>
                <w:numId w:val="9"/>
              </w:numPr>
              <w:ind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xml:space="preserve">U suradnji s Ministarstvom znanosti, obrazovanja i sporta organizirana </w:t>
            </w:r>
            <w:r w:rsidR="0017465A" w:rsidRPr="00E85451">
              <w:rPr>
                <w:rFonts w:ascii="Arial" w:eastAsia="Arial" w:hAnsi="Arial" w:cs="Arial"/>
                <w:color w:val="auto"/>
                <w:sz w:val="22"/>
                <w:szCs w:val="22"/>
              </w:rPr>
              <w:t xml:space="preserve">nacionalna </w:t>
            </w:r>
            <w:r w:rsidRPr="00E85451">
              <w:rPr>
                <w:rFonts w:ascii="Arial" w:eastAsia="Arial" w:hAnsi="Arial" w:cs="Arial"/>
                <w:color w:val="auto"/>
                <w:sz w:val="22"/>
                <w:szCs w:val="22"/>
              </w:rPr>
              <w:t>Obzor 2020. konferencija</w:t>
            </w:r>
          </w:p>
          <w:p w:rsidR="003504A5" w:rsidRPr="00E85451" w:rsidRDefault="003504A5" w:rsidP="003504A5">
            <w:pPr>
              <w:numPr>
                <w:ilvl w:val="0"/>
                <w:numId w:val="9"/>
              </w:numPr>
              <w:ind w:right="-8"/>
              <w:jc w:val="both"/>
              <w:rPr>
                <w:rFonts w:ascii="Arial" w:eastAsia="Arial" w:hAnsi="Arial" w:cs="Arial"/>
                <w:color w:val="auto"/>
                <w:sz w:val="22"/>
                <w:szCs w:val="22"/>
              </w:rPr>
            </w:pPr>
            <w:r w:rsidRPr="00E85451">
              <w:rPr>
                <w:rFonts w:ascii="Arial" w:eastAsia="Arial" w:hAnsi="Arial" w:cs="Arial"/>
                <w:color w:val="auto"/>
                <w:sz w:val="22"/>
                <w:szCs w:val="22"/>
              </w:rPr>
              <w:t>Utjecaj na izmjenu relevantnog zakonodavstva: izmjene Zakona o porezu na dohodak i Pravilnika o porezu na dohodak</w:t>
            </w:r>
          </w:p>
          <w:p w:rsidR="003504A5" w:rsidRPr="00E85451" w:rsidRDefault="003504A5" w:rsidP="003504A5">
            <w:pPr>
              <w:numPr>
                <w:ilvl w:val="0"/>
                <w:numId w:val="9"/>
              </w:numPr>
              <w:ind w:right="-8"/>
              <w:jc w:val="both"/>
              <w:rPr>
                <w:rFonts w:ascii="Arial" w:eastAsia="Arial" w:hAnsi="Arial" w:cs="Arial"/>
                <w:color w:val="auto"/>
                <w:sz w:val="22"/>
                <w:szCs w:val="22"/>
              </w:rPr>
            </w:pPr>
            <w:r w:rsidRPr="00E85451">
              <w:rPr>
                <w:rFonts w:ascii="Arial" w:eastAsia="Arial" w:hAnsi="Arial" w:cs="Arial"/>
                <w:color w:val="auto"/>
                <w:sz w:val="22"/>
                <w:szCs w:val="22"/>
              </w:rPr>
              <w:t>Poslani komentari na reviziju iz svibnja 2013. godine za HR MOB, I-SEEMob i EURAXESS TOP projekt</w:t>
            </w:r>
          </w:p>
          <w:p w:rsidR="003504A5" w:rsidRPr="00E85451" w:rsidRDefault="003504A5" w:rsidP="003504A5">
            <w:pPr>
              <w:numPr>
                <w:ilvl w:val="0"/>
                <w:numId w:val="9"/>
              </w:numPr>
              <w:ind w:right="-8"/>
              <w:rPr>
                <w:rFonts w:ascii="Arial" w:eastAsia="Arial" w:hAnsi="Arial" w:cs="Arial"/>
                <w:color w:val="auto"/>
                <w:sz w:val="22"/>
                <w:szCs w:val="22"/>
              </w:rPr>
            </w:pPr>
            <w:r w:rsidRPr="00E85451">
              <w:rPr>
                <w:rFonts w:ascii="Arial" w:eastAsia="Arial" w:hAnsi="Arial" w:cs="Arial"/>
                <w:color w:val="auto"/>
                <w:sz w:val="22"/>
                <w:szCs w:val="22"/>
              </w:rPr>
              <w:t>Odrađeni zadaci unutar EURAXESS TOP II projekta:</w:t>
            </w:r>
          </w:p>
          <w:p w:rsidR="003504A5" w:rsidRPr="00E85451" w:rsidRDefault="003504A5" w:rsidP="003504A5">
            <w:pPr>
              <w:numPr>
                <w:ilvl w:val="1"/>
                <w:numId w:val="9"/>
              </w:num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Sudjelovanje na posljednjem sastanku radnog paketa 4 </w:t>
            </w:r>
          </w:p>
          <w:p w:rsidR="003504A5" w:rsidRPr="00E85451" w:rsidRDefault="003504A5" w:rsidP="003504A5">
            <w:pPr>
              <w:numPr>
                <w:ilvl w:val="1"/>
                <w:numId w:val="9"/>
              </w:numPr>
              <w:ind w:right="-8"/>
              <w:jc w:val="both"/>
              <w:rPr>
                <w:rFonts w:ascii="Arial" w:eastAsia="Arial" w:hAnsi="Arial" w:cs="Arial"/>
                <w:color w:val="auto"/>
                <w:sz w:val="22"/>
                <w:szCs w:val="22"/>
              </w:rPr>
            </w:pPr>
            <w:r w:rsidRPr="00E85451">
              <w:rPr>
                <w:rFonts w:ascii="Arial" w:eastAsia="Arial" w:hAnsi="Arial" w:cs="Arial"/>
                <w:color w:val="auto"/>
                <w:sz w:val="22"/>
                <w:szCs w:val="22"/>
              </w:rPr>
              <w:t>Sudjelovanje na posljednjem konzorcijskom sastanku u Madridu u prosincu 2014.</w:t>
            </w:r>
          </w:p>
          <w:p w:rsidR="003504A5" w:rsidRPr="00E85451" w:rsidRDefault="003504A5" w:rsidP="003504A5">
            <w:pPr>
              <w:numPr>
                <w:ilvl w:val="1"/>
                <w:numId w:val="9"/>
              </w:num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Praćenje preporuka iz analize kvalitete EURAXESS portala iz 38 zemalja </w:t>
            </w:r>
          </w:p>
          <w:p w:rsidR="003504A5" w:rsidRPr="00E85451" w:rsidRDefault="003504A5" w:rsidP="003504A5">
            <w:pPr>
              <w:numPr>
                <w:ilvl w:val="1"/>
                <w:numId w:val="9"/>
              </w:numPr>
              <w:ind w:right="-8"/>
              <w:jc w:val="both"/>
              <w:rPr>
                <w:rFonts w:ascii="Arial" w:eastAsia="Arial" w:hAnsi="Arial" w:cs="Arial"/>
                <w:color w:val="auto"/>
                <w:sz w:val="22"/>
                <w:szCs w:val="22"/>
              </w:rPr>
            </w:pPr>
            <w:r w:rsidRPr="00E85451">
              <w:rPr>
                <w:rFonts w:ascii="Arial" w:eastAsia="Arial" w:hAnsi="Arial" w:cs="Arial"/>
                <w:color w:val="auto"/>
                <w:sz w:val="22"/>
                <w:szCs w:val="22"/>
              </w:rPr>
              <w:t>Predstavljanje analize kvalitete EURAXESS portala na treningu za portal administratore u Briselu u studenome 2014.</w:t>
            </w:r>
          </w:p>
          <w:p w:rsidR="003504A5" w:rsidRPr="00E85451" w:rsidRDefault="003504A5" w:rsidP="003504A5">
            <w:pPr>
              <w:numPr>
                <w:ilvl w:val="1"/>
                <w:numId w:val="9"/>
              </w:numPr>
              <w:ind w:right="-8"/>
              <w:jc w:val="both"/>
              <w:rPr>
                <w:rFonts w:ascii="Arial" w:eastAsia="Arial" w:hAnsi="Arial" w:cs="Arial"/>
                <w:color w:val="auto"/>
                <w:sz w:val="22"/>
                <w:szCs w:val="22"/>
              </w:rPr>
            </w:pPr>
            <w:r w:rsidRPr="00E85451">
              <w:rPr>
                <w:rFonts w:ascii="Arial" w:eastAsia="Arial" w:hAnsi="Arial" w:cs="Arial"/>
                <w:color w:val="auto"/>
                <w:sz w:val="22"/>
                <w:szCs w:val="22"/>
              </w:rPr>
              <w:t xml:space="preserve">Završen narativni izvještaj za EURAXESS TOP II. aktivnosti </w:t>
            </w:r>
          </w:p>
          <w:p w:rsidR="003504A5" w:rsidRPr="00E85451" w:rsidRDefault="003504A5" w:rsidP="003504A5">
            <w:pPr>
              <w:numPr>
                <w:ilvl w:val="1"/>
                <w:numId w:val="9"/>
              </w:numPr>
              <w:ind w:right="-8"/>
              <w:jc w:val="both"/>
              <w:rPr>
                <w:rFonts w:ascii="Arial" w:eastAsia="Arial" w:hAnsi="Arial" w:cs="Arial"/>
                <w:color w:val="auto"/>
                <w:sz w:val="22"/>
                <w:szCs w:val="22"/>
              </w:rPr>
            </w:pPr>
            <w:r w:rsidRPr="00E85451">
              <w:rPr>
                <w:rFonts w:ascii="Arial" w:eastAsia="Arial" w:hAnsi="Arial" w:cs="Arial"/>
                <w:color w:val="auto"/>
                <w:sz w:val="22"/>
                <w:szCs w:val="22"/>
              </w:rPr>
              <w:t>Pripremljen Akcijski plan za promociju EURAXESS programa studentima i mladim istraživačima</w:t>
            </w:r>
          </w:p>
          <w:p w:rsidR="003504A5" w:rsidRPr="00E85451" w:rsidRDefault="003504A5" w:rsidP="003504A5">
            <w:pPr>
              <w:numPr>
                <w:ilvl w:val="1"/>
                <w:numId w:val="9"/>
              </w:numPr>
              <w:ind w:right="-8"/>
              <w:jc w:val="both"/>
              <w:rPr>
                <w:rFonts w:ascii="Arial" w:eastAsia="Arial" w:hAnsi="Arial" w:cs="Arial"/>
                <w:color w:val="auto"/>
                <w:sz w:val="22"/>
                <w:szCs w:val="22"/>
              </w:rPr>
            </w:pPr>
            <w:r w:rsidRPr="00E85451">
              <w:rPr>
                <w:rFonts w:ascii="Arial" w:eastAsia="Arial" w:hAnsi="Arial" w:cs="Arial"/>
                <w:color w:val="auto"/>
                <w:sz w:val="22"/>
                <w:szCs w:val="22"/>
              </w:rPr>
              <w:t>Završen financijski i narativni izvještaj „Network call“ aktivnosti - grant dodijeljen za nacionalne EURAXESS aktivnosti unutar EURAXESS TOP II. projekta</w:t>
            </w:r>
          </w:p>
          <w:p w:rsidR="003504A5" w:rsidRPr="00E85451" w:rsidRDefault="003504A5" w:rsidP="003504A5">
            <w:pPr>
              <w:numPr>
                <w:ilvl w:val="1"/>
                <w:numId w:val="9"/>
              </w:numPr>
              <w:ind w:right="-8"/>
              <w:jc w:val="both"/>
              <w:rPr>
                <w:rFonts w:ascii="Arial" w:eastAsia="Arial" w:hAnsi="Arial" w:cs="Arial"/>
                <w:color w:val="auto"/>
                <w:sz w:val="22"/>
                <w:szCs w:val="22"/>
              </w:rPr>
            </w:pPr>
            <w:r w:rsidRPr="00E85451">
              <w:rPr>
                <w:rFonts w:ascii="Arial" w:eastAsia="Arial" w:hAnsi="Arial" w:cs="Arial"/>
                <w:color w:val="auto"/>
                <w:sz w:val="22"/>
                <w:szCs w:val="22"/>
              </w:rPr>
              <w:t>Završena revizija „Network call“ sredstava (revizor: Interexpert – Zagreb)</w:t>
            </w:r>
          </w:p>
          <w:p w:rsidR="003504A5" w:rsidRPr="00E85451" w:rsidRDefault="003504A5" w:rsidP="003504A5">
            <w:pPr>
              <w:numPr>
                <w:ilvl w:val="0"/>
                <w:numId w:val="9"/>
              </w:numPr>
              <w:contextualSpacing/>
              <w:rPr>
                <w:rFonts w:ascii="Arial" w:eastAsia="Arial" w:hAnsi="Arial" w:cs="Arial"/>
                <w:color w:val="auto"/>
                <w:sz w:val="22"/>
                <w:szCs w:val="22"/>
              </w:rPr>
            </w:pPr>
            <w:r w:rsidRPr="00E85451">
              <w:rPr>
                <w:rFonts w:ascii="Arial" w:eastAsia="Arial" w:hAnsi="Arial" w:cs="Arial"/>
                <w:color w:val="auto"/>
                <w:sz w:val="22"/>
                <w:szCs w:val="22"/>
              </w:rPr>
              <w:t>Odrađeni zadaci unutar Web-InUnion projekta:</w:t>
            </w:r>
          </w:p>
          <w:p w:rsidR="003504A5" w:rsidRPr="00E85451" w:rsidRDefault="003504A5" w:rsidP="003504A5">
            <w:pPr>
              <w:numPr>
                <w:ilvl w:val="1"/>
                <w:numId w:val="9"/>
              </w:numPr>
              <w:contextualSpacing/>
              <w:rPr>
                <w:rFonts w:ascii="Arial" w:eastAsia="Arial" w:hAnsi="Arial" w:cs="Arial"/>
                <w:color w:val="auto"/>
                <w:sz w:val="22"/>
                <w:szCs w:val="22"/>
              </w:rPr>
            </w:pPr>
            <w:r w:rsidRPr="00E85451">
              <w:rPr>
                <w:rFonts w:ascii="Arial" w:eastAsia="Arial" w:hAnsi="Arial" w:cs="Arial"/>
                <w:color w:val="auto"/>
                <w:sz w:val="22"/>
                <w:szCs w:val="22"/>
              </w:rPr>
              <w:t>Sudjelovanje na konferenciji u Beogradu u rujnu 2014.</w:t>
            </w:r>
          </w:p>
          <w:p w:rsidR="003504A5" w:rsidRPr="00E85451" w:rsidRDefault="003504A5" w:rsidP="003504A5">
            <w:pPr>
              <w:numPr>
                <w:ilvl w:val="1"/>
                <w:numId w:val="9"/>
              </w:numPr>
              <w:contextualSpacing/>
              <w:rPr>
                <w:rFonts w:ascii="Arial" w:eastAsia="Arial" w:hAnsi="Arial" w:cs="Arial"/>
                <w:color w:val="auto"/>
                <w:sz w:val="22"/>
                <w:szCs w:val="22"/>
              </w:rPr>
            </w:pPr>
            <w:r w:rsidRPr="00E85451">
              <w:rPr>
                <w:rFonts w:ascii="Arial" w:eastAsia="Arial" w:hAnsi="Arial" w:cs="Arial"/>
                <w:color w:val="auto"/>
                <w:sz w:val="22"/>
                <w:szCs w:val="22"/>
              </w:rPr>
              <w:t>Sudjelovanje na posljednjem konzorcijskom sastanku u Heraklionu u listopadu 2014.</w:t>
            </w:r>
          </w:p>
          <w:p w:rsidR="003504A5" w:rsidRPr="00E85451" w:rsidRDefault="003504A5" w:rsidP="003504A5">
            <w:pPr>
              <w:numPr>
                <w:ilvl w:val="1"/>
                <w:numId w:val="9"/>
              </w:numPr>
              <w:contextualSpacing/>
              <w:rPr>
                <w:rFonts w:ascii="Arial" w:eastAsia="Arial" w:hAnsi="Arial" w:cs="Arial"/>
                <w:color w:val="auto"/>
                <w:sz w:val="22"/>
                <w:szCs w:val="22"/>
              </w:rPr>
            </w:pPr>
            <w:r w:rsidRPr="00E85451">
              <w:rPr>
                <w:rFonts w:ascii="Arial" w:eastAsia="Arial" w:hAnsi="Arial" w:cs="Arial"/>
                <w:color w:val="auto"/>
                <w:sz w:val="22"/>
                <w:szCs w:val="22"/>
              </w:rPr>
              <w:t>Pripremljen financijski i narativni izvještaj</w:t>
            </w:r>
          </w:p>
          <w:p w:rsidR="003504A5" w:rsidRPr="00E85451" w:rsidRDefault="003504A5" w:rsidP="003504A5">
            <w:pPr>
              <w:numPr>
                <w:ilvl w:val="1"/>
                <w:numId w:val="9"/>
              </w:numPr>
              <w:ind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 xml:space="preserve">Izrađen izvještaj o hrvatskoj znanstvenoj dijaspori </w:t>
            </w:r>
          </w:p>
          <w:p w:rsidR="003504A5" w:rsidRPr="00E85451" w:rsidRDefault="003504A5" w:rsidP="003504A5">
            <w:pPr>
              <w:numPr>
                <w:ilvl w:val="1"/>
                <w:numId w:val="9"/>
              </w:numPr>
              <w:ind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Predstavljeni hrvatski rezultati implementacije „Povelje i kodeksa“ u Ateni u prosincu 2014.</w:t>
            </w:r>
          </w:p>
          <w:p w:rsidR="003504A5" w:rsidRPr="00E85451" w:rsidRDefault="003504A5" w:rsidP="003504A5">
            <w:pPr>
              <w:numPr>
                <w:ilvl w:val="1"/>
                <w:numId w:val="9"/>
              </w:numPr>
              <w:ind w:right="-8"/>
              <w:contextualSpacing/>
              <w:jc w:val="both"/>
              <w:rPr>
                <w:rFonts w:ascii="Arial" w:eastAsia="Arial" w:hAnsi="Arial" w:cs="Arial"/>
                <w:color w:val="auto"/>
                <w:sz w:val="22"/>
                <w:szCs w:val="22"/>
              </w:rPr>
            </w:pPr>
            <w:r w:rsidRPr="00E85451">
              <w:rPr>
                <w:rFonts w:ascii="Arial" w:eastAsia="Arial" w:hAnsi="Arial" w:cs="Arial"/>
                <w:color w:val="auto"/>
                <w:sz w:val="22"/>
                <w:szCs w:val="22"/>
              </w:rPr>
              <w:t>Organiziran sastanak s institucijama nagrađenima logom „HR excellence in Research“ u lipnju 2014.</w:t>
            </w:r>
          </w:p>
          <w:p w:rsidR="003504A5" w:rsidRPr="00E85451" w:rsidRDefault="003504A5" w:rsidP="003504A5">
            <w:pPr>
              <w:ind w:right="-8"/>
              <w:jc w:val="both"/>
              <w:rPr>
                <w:rFonts w:ascii="Arial" w:hAnsi="Arial" w:cs="Arial"/>
                <w:color w:val="auto"/>
                <w:sz w:val="22"/>
                <w:szCs w:val="22"/>
              </w:rPr>
            </w:pPr>
          </w:p>
        </w:tc>
      </w:tr>
      <w:tr w:rsidR="00E85451" w:rsidRPr="00E85451" w:rsidTr="00C50BEF">
        <w:tc>
          <w:tcPr>
            <w:tcW w:w="1560" w:type="dxa"/>
            <w:tcMar>
              <w:top w:w="88" w:type="dxa"/>
              <w:left w:w="88" w:type="dxa"/>
              <w:bottom w:w="88" w:type="dxa"/>
              <w:right w:w="88" w:type="dxa"/>
            </w:tcMar>
          </w:tcPr>
          <w:p w:rsidR="003504A5" w:rsidRPr="00E85451" w:rsidRDefault="003504A5" w:rsidP="003504A5">
            <w:pPr>
              <w:ind w:right="-8"/>
              <w:jc w:val="both"/>
              <w:rPr>
                <w:rFonts w:ascii="Arial" w:hAnsi="Arial" w:cs="Arial"/>
                <w:color w:val="auto"/>
                <w:sz w:val="22"/>
                <w:szCs w:val="22"/>
              </w:rPr>
            </w:pPr>
            <w:r w:rsidRPr="00E85451">
              <w:rPr>
                <w:rFonts w:ascii="Arial" w:eastAsia="Arial" w:hAnsi="Arial" w:cs="Arial"/>
                <w:color w:val="auto"/>
                <w:sz w:val="22"/>
                <w:szCs w:val="22"/>
              </w:rPr>
              <w:t>Promotivni materijali</w:t>
            </w:r>
          </w:p>
        </w:tc>
        <w:tc>
          <w:tcPr>
            <w:tcW w:w="8017" w:type="dxa"/>
            <w:tcMar>
              <w:top w:w="88" w:type="dxa"/>
              <w:left w:w="88" w:type="dxa"/>
              <w:bottom w:w="88" w:type="dxa"/>
              <w:right w:w="88" w:type="dxa"/>
            </w:tcMar>
          </w:tcPr>
          <w:p w:rsidR="003504A5" w:rsidRPr="00E85451" w:rsidRDefault="003504A5" w:rsidP="003504A5">
            <w:pPr>
              <w:ind w:right="-8"/>
              <w:jc w:val="both"/>
              <w:rPr>
                <w:rFonts w:ascii="Arial" w:eastAsia="Arial" w:hAnsi="Arial" w:cs="Arial"/>
                <w:color w:val="auto"/>
                <w:sz w:val="22"/>
                <w:szCs w:val="22"/>
              </w:rPr>
            </w:pPr>
            <w:r w:rsidRPr="00E85451">
              <w:rPr>
                <w:rFonts w:ascii="Arial" w:eastAsia="Arial" w:hAnsi="Arial" w:cs="Arial"/>
                <w:color w:val="auto"/>
                <w:sz w:val="22"/>
                <w:szCs w:val="22"/>
              </w:rPr>
              <w:t>EURAXESS letak - izmjene</w:t>
            </w:r>
          </w:p>
          <w:p w:rsidR="003504A5" w:rsidRPr="00E85451" w:rsidRDefault="003504A5" w:rsidP="003504A5">
            <w:pPr>
              <w:ind w:right="-8"/>
              <w:jc w:val="both"/>
              <w:rPr>
                <w:rFonts w:ascii="Arial" w:hAnsi="Arial" w:cs="Arial"/>
                <w:color w:val="auto"/>
                <w:sz w:val="22"/>
                <w:szCs w:val="22"/>
              </w:rPr>
            </w:pPr>
          </w:p>
          <w:p w:rsidR="00BE542C" w:rsidRPr="00E85451" w:rsidRDefault="00BE542C" w:rsidP="003504A5">
            <w:pPr>
              <w:ind w:right="-8"/>
              <w:jc w:val="both"/>
              <w:rPr>
                <w:rFonts w:ascii="Arial" w:hAnsi="Arial" w:cs="Arial"/>
                <w:color w:val="auto"/>
                <w:sz w:val="22"/>
                <w:szCs w:val="22"/>
              </w:rPr>
            </w:pPr>
          </w:p>
        </w:tc>
      </w:tr>
    </w:tbl>
    <w:p w:rsidR="0027181E" w:rsidRDefault="0027181E" w:rsidP="00601741">
      <w:pPr>
        <w:pStyle w:val="Heading2"/>
        <w:rPr>
          <w:rFonts w:ascii="Arial" w:hAnsi="Arial" w:cs="Arial"/>
          <w:color w:val="auto"/>
          <w:sz w:val="24"/>
          <w:szCs w:val="24"/>
        </w:rPr>
      </w:pPr>
    </w:p>
    <w:p w:rsidR="005F1ABB" w:rsidRPr="000F3158" w:rsidRDefault="005F1ABB" w:rsidP="00601741">
      <w:pPr>
        <w:pStyle w:val="Heading2"/>
        <w:rPr>
          <w:rFonts w:ascii="Arial" w:hAnsi="Arial" w:cs="Arial"/>
          <w:color w:val="auto"/>
          <w:sz w:val="24"/>
          <w:szCs w:val="24"/>
        </w:rPr>
      </w:pPr>
      <w:bookmarkStart w:id="23" w:name="_Toc419192159"/>
      <w:r w:rsidRPr="000F3158">
        <w:rPr>
          <w:rFonts w:ascii="Arial" w:hAnsi="Arial" w:cs="Arial"/>
          <w:color w:val="auto"/>
          <w:sz w:val="24"/>
          <w:szCs w:val="24"/>
        </w:rPr>
        <w:t>2.8. Program Obzor 2020.</w:t>
      </w:r>
      <w:bookmarkEnd w:id="23"/>
    </w:p>
    <w:p w:rsidR="005F1ABB" w:rsidRPr="00E85451" w:rsidRDefault="005F1ABB" w:rsidP="005F1ABB">
      <w:pPr>
        <w:ind w:right="-8"/>
        <w:jc w:val="both"/>
        <w:rPr>
          <w:rFonts w:ascii="Arial" w:hAnsi="Arial" w:cs="Arial"/>
          <w:color w:val="auto"/>
          <w:sz w:val="22"/>
          <w:szCs w:val="22"/>
        </w:rPr>
      </w:pPr>
    </w:p>
    <w:p w:rsidR="005E3AD9" w:rsidRPr="00E85451" w:rsidRDefault="005E3AD9" w:rsidP="007E4E76">
      <w:pPr>
        <w:ind w:right="-8"/>
        <w:jc w:val="right"/>
        <w:rPr>
          <w:rFonts w:ascii="Arial" w:hAnsi="Arial" w:cs="Arial"/>
          <w:color w:val="auto"/>
          <w:sz w:val="22"/>
          <w:szCs w:val="22"/>
        </w:rPr>
      </w:pPr>
    </w:p>
    <w:tbl>
      <w:tblPr>
        <w:tblW w:w="9577" w:type="dxa"/>
        <w:tblInd w:w="-478" w:type="dxa"/>
        <w:tblLayout w:type="fixed"/>
        <w:tblLook w:val="0600" w:firstRow="0" w:lastRow="0" w:firstColumn="0" w:lastColumn="0" w:noHBand="1" w:noVBand="1"/>
      </w:tblPr>
      <w:tblGrid>
        <w:gridCol w:w="1560"/>
        <w:gridCol w:w="8017"/>
      </w:tblGrid>
      <w:tr w:rsidR="00E85451" w:rsidRPr="00E85451" w:rsidTr="005F1ABB">
        <w:tc>
          <w:tcPr>
            <w:tcW w:w="1560" w:type="dxa"/>
            <w:tcMar>
              <w:top w:w="88" w:type="dxa"/>
              <w:left w:w="88" w:type="dxa"/>
              <w:bottom w:w="88" w:type="dxa"/>
              <w:right w:w="88" w:type="dxa"/>
            </w:tcMar>
          </w:tcPr>
          <w:p w:rsidR="005F1ABB" w:rsidRPr="00E85451" w:rsidRDefault="005F1ABB" w:rsidP="005F1ABB">
            <w:pPr>
              <w:ind w:right="-8"/>
              <w:rPr>
                <w:rFonts w:ascii="Arial" w:hAnsi="Arial" w:cs="Arial"/>
                <w:color w:val="auto"/>
                <w:sz w:val="22"/>
                <w:szCs w:val="22"/>
              </w:rPr>
            </w:pPr>
            <w:r w:rsidRPr="00E85451">
              <w:rPr>
                <w:rFonts w:ascii="Arial" w:eastAsia="Arial" w:hAnsi="Arial" w:cs="Arial"/>
                <w:color w:val="auto"/>
                <w:sz w:val="22"/>
                <w:szCs w:val="22"/>
              </w:rPr>
              <w:t>Ukratko o programu i ciljevima:</w:t>
            </w:r>
          </w:p>
        </w:tc>
        <w:tc>
          <w:tcPr>
            <w:tcW w:w="8017" w:type="dxa"/>
            <w:tcMar>
              <w:top w:w="88" w:type="dxa"/>
              <w:left w:w="88" w:type="dxa"/>
              <w:bottom w:w="88" w:type="dxa"/>
              <w:right w:w="88" w:type="dxa"/>
            </w:tcMar>
          </w:tcPr>
          <w:p w:rsidR="005F1ABB" w:rsidRPr="00E85451" w:rsidRDefault="005F1ABB" w:rsidP="005F1ABB">
            <w:pPr>
              <w:jc w:val="both"/>
              <w:rPr>
                <w:rFonts w:ascii="Arial" w:hAnsi="Arial" w:cs="Arial"/>
                <w:color w:val="auto"/>
                <w:sz w:val="22"/>
                <w:szCs w:val="22"/>
              </w:rPr>
            </w:pPr>
            <w:r w:rsidRPr="00E85451">
              <w:rPr>
                <w:rFonts w:ascii="Arial" w:hAnsi="Arial" w:cs="Arial"/>
                <w:color w:val="auto"/>
                <w:sz w:val="22"/>
                <w:szCs w:val="22"/>
              </w:rPr>
              <w:t>Obzor 2020. (Horizon 2020) novi je okvirni program Europske unije za istraživanje i inovacije za razdoblje od 2014. do 2020. godine koji objedinjuje aktivnosti Sedmog okvirnog programa (FP7), inovacijske aspekte Programa za konkurentnost i inovacije (CIP) i EU doprinos Europskom institutu za inovacije i tehnologiju (EIT).</w:t>
            </w:r>
          </w:p>
          <w:p w:rsidR="005F1ABB" w:rsidRPr="00E85451" w:rsidRDefault="005F1ABB" w:rsidP="005F1ABB">
            <w:pPr>
              <w:widowControl/>
              <w:jc w:val="both"/>
              <w:rPr>
                <w:rFonts w:ascii="Arial" w:hAnsi="Arial" w:cs="Arial"/>
                <w:color w:val="auto"/>
                <w:sz w:val="22"/>
                <w:szCs w:val="22"/>
              </w:rPr>
            </w:pPr>
            <w:r w:rsidRPr="00E85451">
              <w:rPr>
                <w:rFonts w:ascii="Arial" w:hAnsi="Arial" w:cs="Arial"/>
                <w:color w:val="auto"/>
                <w:sz w:val="22"/>
                <w:szCs w:val="22"/>
              </w:rPr>
              <w:t xml:space="preserve">Obzor 2020. doprinijet će ostvarivanju ciljeva ključnih strateških dokumenata Europske unije vezanih za istraživanje, tehnologijski razvoj i inovacije, Europa 2020. i Unija inovacija (Innovation Union) te izgradnji Europskog istraživačkog </w:t>
            </w:r>
            <w:r w:rsidRPr="00E85451">
              <w:rPr>
                <w:rFonts w:ascii="Arial" w:hAnsi="Arial" w:cs="Arial"/>
                <w:color w:val="auto"/>
                <w:sz w:val="22"/>
                <w:szCs w:val="22"/>
              </w:rPr>
              <w:lastRenderedPageBreak/>
              <w:t>prostora (European Research Area).</w:t>
            </w:r>
          </w:p>
          <w:p w:rsidR="005F1ABB" w:rsidRPr="00E85451" w:rsidRDefault="005F1ABB" w:rsidP="005F1ABB">
            <w:pPr>
              <w:widowControl/>
              <w:jc w:val="both"/>
              <w:rPr>
                <w:rFonts w:ascii="Arial" w:hAnsi="Arial" w:cs="Arial"/>
                <w:color w:val="auto"/>
                <w:sz w:val="22"/>
                <w:szCs w:val="22"/>
              </w:rPr>
            </w:pPr>
            <w:r w:rsidRPr="00E85451">
              <w:rPr>
                <w:rFonts w:ascii="Arial" w:hAnsi="Arial" w:cs="Arial"/>
                <w:color w:val="auto"/>
                <w:sz w:val="22"/>
                <w:szCs w:val="22"/>
              </w:rPr>
              <w:t>Misao vodilja novog okvirnog programa je nuđenje rješenja i odgovora na gospodarsku krizu, investiranja u buduće poslove i razvoj, rješavanja pitanja građana EU o njihovoj materijalnoj sigurnosti, općoj sigurnosti i okolišu, kao i jačanja globalne pozicije EU u istraživanjima, inovacijama i tehnologijama.</w:t>
            </w:r>
          </w:p>
          <w:p w:rsidR="005F1ABB" w:rsidRPr="00E85451" w:rsidRDefault="005F1ABB" w:rsidP="005F1ABB">
            <w:pPr>
              <w:widowControl/>
              <w:jc w:val="both"/>
              <w:rPr>
                <w:rFonts w:ascii="Arial" w:hAnsi="Arial" w:cs="Arial"/>
                <w:color w:val="auto"/>
                <w:sz w:val="22"/>
                <w:szCs w:val="22"/>
              </w:rPr>
            </w:pPr>
            <w:r w:rsidRPr="00E85451">
              <w:rPr>
                <w:rFonts w:ascii="Arial" w:hAnsi="Arial" w:cs="Arial"/>
                <w:color w:val="auto"/>
                <w:sz w:val="22"/>
                <w:szCs w:val="22"/>
              </w:rPr>
              <w:t>Struktura Obzora 2020. temelji se na tri glavna prioriteta: Izvrsna znanost (Excellent Science), Industrijsko vodstvo (Industrial Leadership) i Društveni izazovi (Societal Challanges).</w:t>
            </w:r>
          </w:p>
          <w:p w:rsidR="005F1ABB" w:rsidRPr="00E85451" w:rsidRDefault="005F1ABB" w:rsidP="005F1ABB">
            <w:pPr>
              <w:ind w:left="720" w:right="-8"/>
              <w:jc w:val="both"/>
              <w:rPr>
                <w:rFonts w:ascii="Arial" w:hAnsi="Arial" w:cs="Arial"/>
                <w:color w:val="auto"/>
                <w:sz w:val="22"/>
                <w:szCs w:val="22"/>
              </w:rPr>
            </w:pPr>
          </w:p>
        </w:tc>
      </w:tr>
      <w:tr w:rsidR="00E85451" w:rsidRPr="00E85451" w:rsidTr="005F1ABB">
        <w:tc>
          <w:tcPr>
            <w:tcW w:w="1560" w:type="dxa"/>
            <w:tcMar>
              <w:top w:w="88" w:type="dxa"/>
              <w:left w:w="88" w:type="dxa"/>
              <w:bottom w:w="88" w:type="dxa"/>
              <w:right w:w="88" w:type="dxa"/>
            </w:tcMar>
          </w:tcPr>
          <w:p w:rsidR="005F1ABB" w:rsidRPr="00E85451" w:rsidRDefault="005F1ABB" w:rsidP="005F1ABB">
            <w:pPr>
              <w:ind w:right="-8"/>
              <w:rPr>
                <w:rFonts w:ascii="Arial" w:eastAsia="Arial" w:hAnsi="Arial" w:cs="Arial"/>
                <w:color w:val="auto"/>
                <w:sz w:val="22"/>
                <w:szCs w:val="22"/>
              </w:rPr>
            </w:pPr>
            <w:r w:rsidRPr="00E85451">
              <w:rPr>
                <w:rFonts w:ascii="Arial" w:eastAsia="Arial" w:hAnsi="Arial" w:cs="Arial"/>
                <w:color w:val="auto"/>
                <w:sz w:val="22"/>
                <w:szCs w:val="22"/>
              </w:rPr>
              <w:lastRenderedPageBreak/>
              <w:t>Pravna osnova</w:t>
            </w:r>
          </w:p>
        </w:tc>
        <w:tc>
          <w:tcPr>
            <w:tcW w:w="8017" w:type="dxa"/>
            <w:tcMar>
              <w:top w:w="88" w:type="dxa"/>
              <w:left w:w="88" w:type="dxa"/>
              <w:bottom w:w="88" w:type="dxa"/>
              <w:right w:w="88" w:type="dxa"/>
            </w:tcMar>
          </w:tcPr>
          <w:p w:rsidR="005E3AD9" w:rsidRPr="00E85451" w:rsidRDefault="008C2AC4" w:rsidP="007E4E76">
            <w:pPr>
              <w:widowControl/>
              <w:jc w:val="both"/>
              <w:rPr>
                <w:rFonts w:ascii="Arial" w:hAnsi="Arial" w:cs="Arial"/>
                <w:color w:val="auto"/>
                <w:sz w:val="22"/>
                <w:szCs w:val="22"/>
              </w:rPr>
            </w:pPr>
            <w:r w:rsidRPr="00E85451">
              <w:rPr>
                <w:rFonts w:ascii="Arial" w:hAnsi="Arial" w:cs="Arial"/>
                <w:color w:val="auto"/>
                <w:sz w:val="22"/>
                <w:szCs w:val="22"/>
              </w:rPr>
              <w:t>UREDBA (EU) br. 1291/2013 EUROPSKOG PARLAMENTA I VIJEĆA od 11. prosinca 2013. o osnivanju Okvirnog programa za istraživanja i inovacije Obzor 2020. (2014. – 2020.) i o stavljanju izvan snage Odluke br. 1982/2006/EZ</w:t>
            </w:r>
          </w:p>
          <w:p w:rsidR="005E3AD9" w:rsidRPr="00E85451" w:rsidRDefault="005E3AD9" w:rsidP="007E4E76">
            <w:pPr>
              <w:widowControl/>
              <w:jc w:val="both"/>
              <w:rPr>
                <w:rFonts w:ascii="Arial" w:hAnsi="Arial" w:cs="Arial"/>
                <w:color w:val="auto"/>
                <w:sz w:val="22"/>
                <w:szCs w:val="22"/>
              </w:rPr>
            </w:pPr>
          </w:p>
          <w:p w:rsidR="005E3AD9" w:rsidRPr="00E85451" w:rsidRDefault="008C2AC4" w:rsidP="007E4E76">
            <w:pPr>
              <w:widowControl/>
              <w:jc w:val="both"/>
              <w:rPr>
                <w:rFonts w:ascii="Arial" w:hAnsi="Arial" w:cs="Arial"/>
                <w:color w:val="auto"/>
                <w:sz w:val="22"/>
                <w:szCs w:val="22"/>
              </w:rPr>
            </w:pPr>
            <w:r w:rsidRPr="00E85451">
              <w:rPr>
                <w:rFonts w:ascii="Arial" w:hAnsi="Arial" w:cs="Arial"/>
                <w:color w:val="auto"/>
                <w:sz w:val="22"/>
                <w:szCs w:val="22"/>
              </w:rPr>
              <w:t>UREDBA (EU) br. 1290/2013 EUROPSKOG PARLAMENTA I VIJEĆA od 11. prosinca 2013. o utvrđivanju pravila za sudjelovanje u Okvirnom programu za istraživanja i inovacije Obzor 2020. (2014. – 2020.) i širenje njegovih rezultata te stavljanju izvan snage Uredbe (EZ) br. 1906/2006 (+DELEGIRANA UREDBA KOMISIJE (EU) br. 622/2014 оd 14. veljače 2014. o utvrđivanju odstupanja od Uredbe (EU) br. 1290/2013 Europskog parlamenta i Vijeća o utvrđivanju pravila za sudjelovanje u Okvirnom programu za istraživanja i inovacije Obzor 2020. (2014.–2020.) i širenje njegovih rezultata u vezi sa Zajedničkim poduzećem za inicijativu za inovativne lijekove 2)</w:t>
            </w:r>
          </w:p>
          <w:p w:rsidR="005E3AD9" w:rsidRPr="00E85451" w:rsidRDefault="005E3AD9" w:rsidP="007E4E76">
            <w:pPr>
              <w:widowControl/>
              <w:jc w:val="both"/>
              <w:rPr>
                <w:rFonts w:ascii="Arial" w:hAnsi="Arial" w:cs="Arial"/>
                <w:color w:val="auto"/>
                <w:sz w:val="22"/>
                <w:szCs w:val="22"/>
              </w:rPr>
            </w:pPr>
          </w:p>
          <w:p w:rsidR="005E3AD9" w:rsidRPr="00E85451" w:rsidRDefault="008C2AC4" w:rsidP="007E4E76">
            <w:pPr>
              <w:widowControl/>
              <w:jc w:val="both"/>
              <w:rPr>
                <w:rFonts w:ascii="Arial" w:hAnsi="Arial" w:cs="Arial"/>
                <w:color w:val="auto"/>
                <w:sz w:val="22"/>
                <w:szCs w:val="22"/>
              </w:rPr>
            </w:pPr>
            <w:r w:rsidRPr="00E85451">
              <w:rPr>
                <w:rFonts w:ascii="Arial" w:hAnsi="Arial" w:cs="Arial"/>
                <w:color w:val="auto"/>
                <w:sz w:val="22"/>
                <w:szCs w:val="22"/>
              </w:rPr>
              <w:t>ODLUKA VIJEĆA od 3. prosinca 2013. o osnivanju Posebnog programa za provedbu Okvirnog programa za istraživanje i inovacije Obzor 2020. (2014. – 2020.) i stavljanju izvan snage odluka 2006/971/EZ, 2006/972/EZ, 2006/973/EZ, 2006/974/EZ i 2006/975/EZ (Tekst značajan za EGP)</w:t>
            </w:r>
          </w:p>
          <w:p w:rsidR="005F1ABB" w:rsidRPr="00E85451" w:rsidRDefault="005F1ABB" w:rsidP="005F1ABB">
            <w:pPr>
              <w:jc w:val="both"/>
              <w:rPr>
                <w:rFonts w:ascii="Arial" w:hAnsi="Arial" w:cs="Arial"/>
                <w:color w:val="auto"/>
                <w:sz w:val="22"/>
                <w:szCs w:val="22"/>
              </w:rPr>
            </w:pPr>
          </w:p>
        </w:tc>
      </w:tr>
      <w:tr w:rsidR="00E85451" w:rsidRPr="00E85451" w:rsidTr="005F1ABB">
        <w:tc>
          <w:tcPr>
            <w:tcW w:w="1560" w:type="dxa"/>
            <w:tcMar>
              <w:top w:w="88" w:type="dxa"/>
              <w:left w:w="88" w:type="dxa"/>
              <w:bottom w:w="88" w:type="dxa"/>
              <w:right w:w="88" w:type="dxa"/>
            </w:tcMar>
          </w:tcPr>
          <w:p w:rsidR="005F1ABB" w:rsidRPr="00E85451" w:rsidRDefault="005F1ABB" w:rsidP="005F1ABB">
            <w:pPr>
              <w:ind w:right="-8"/>
              <w:jc w:val="both"/>
              <w:rPr>
                <w:rFonts w:ascii="Arial" w:hAnsi="Arial" w:cs="Arial"/>
                <w:color w:val="auto"/>
                <w:sz w:val="22"/>
                <w:szCs w:val="22"/>
              </w:rPr>
            </w:pPr>
            <w:r w:rsidRPr="00E85451">
              <w:rPr>
                <w:rFonts w:ascii="Arial" w:eastAsia="Arial" w:hAnsi="Arial" w:cs="Arial"/>
                <w:color w:val="auto"/>
                <w:sz w:val="22"/>
                <w:szCs w:val="22"/>
              </w:rPr>
              <w:t>Poduzete aktivnosti tijekom 201</w:t>
            </w:r>
            <w:r w:rsidR="00C1374E" w:rsidRPr="00E85451">
              <w:rPr>
                <w:rFonts w:ascii="Arial" w:eastAsia="Arial" w:hAnsi="Arial" w:cs="Arial"/>
                <w:color w:val="auto"/>
                <w:sz w:val="22"/>
                <w:szCs w:val="22"/>
              </w:rPr>
              <w:t>4</w:t>
            </w:r>
            <w:r w:rsidRPr="00E85451">
              <w:rPr>
                <w:rFonts w:ascii="Arial" w:eastAsia="Arial" w:hAnsi="Arial" w:cs="Arial"/>
                <w:color w:val="auto"/>
                <w:sz w:val="22"/>
                <w:szCs w:val="22"/>
              </w:rPr>
              <w:t>.g.</w:t>
            </w:r>
          </w:p>
        </w:tc>
        <w:tc>
          <w:tcPr>
            <w:tcW w:w="8017" w:type="dxa"/>
            <w:tcMar>
              <w:top w:w="88" w:type="dxa"/>
              <w:left w:w="88" w:type="dxa"/>
              <w:bottom w:w="88" w:type="dxa"/>
              <w:right w:w="88" w:type="dxa"/>
            </w:tcMar>
          </w:tcPr>
          <w:p w:rsidR="00ED35AE" w:rsidRPr="00E85451" w:rsidRDefault="005F1ABB" w:rsidP="005F1ABB">
            <w:pPr>
              <w:ind w:right="-8"/>
              <w:jc w:val="both"/>
              <w:rPr>
                <w:rFonts w:ascii="Arial" w:hAnsi="Arial" w:cs="Arial"/>
                <w:color w:val="auto"/>
                <w:sz w:val="22"/>
                <w:szCs w:val="22"/>
              </w:rPr>
            </w:pPr>
            <w:r w:rsidRPr="00E85451">
              <w:rPr>
                <w:rFonts w:ascii="Arial" w:hAnsi="Arial" w:cs="Arial"/>
                <w:color w:val="auto"/>
                <w:sz w:val="22"/>
                <w:szCs w:val="22"/>
              </w:rPr>
              <w:t xml:space="preserve">U Odjelu za Obzor 2020. šest nacionalnih osoba za kontakt pokriva trinaest područja programa Obzor 2020.: ICT, NMP, Svemir, Zdravlje, demografske promjene i kvaliteta života, Sigurnost hrane, održiva poljoprivreda, istraživanje mora i podmorja i biotehnologija, Energija, Promet, Klimatska aktivnost, učinkovitost resursa i sirovine, Uključiva, inovativna i promišljena društva, Sigurna društva, Širenje izvrsnosti i sudjelovanja, Znanost u i za društvo i Zajednički istraživački centar. </w:t>
            </w:r>
          </w:p>
          <w:p w:rsidR="00ED35AE" w:rsidRPr="00E85451" w:rsidRDefault="005F1ABB" w:rsidP="005F1ABB">
            <w:pPr>
              <w:ind w:right="-8"/>
              <w:jc w:val="both"/>
              <w:rPr>
                <w:rFonts w:ascii="Arial" w:hAnsi="Arial" w:cs="Arial"/>
                <w:color w:val="auto"/>
                <w:sz w:val="22"/>
                <w:szCs w:val="22"/>
              </w:rPr>
            </w:pPr>
            <w:r w:rsidRPr="00E85451">
              <w:rPr>
                <w:rFonts w:ascii="Arial" w:hAnsi="Arial" w:cs="Arial"/>
                <w:color w:val="auto"/>
                <w:sz w:val="22"/>
                <w:szCs w:val="22"/>
              </w:rPr>
              <w:t xml:space="preserve">Većina nacionalnih osoba za kontakt istovremeno obavljaju i funkciju nacionalnog predstavnika RH u Programskom odboru za pojedinu područje (delegat) za pojedino područje, zajedno s nacionalnim predstavnikom RH stručnjakom (expert). </w:t>
            </w:r>
          </w:p>
          <w:p w:rsidR="00ED35AE" w:rsidRPr="00E85451" w:rsidRDefault="005F1ABB" w:rsidP="005F1ABB">
            <w:pPr>
              <w:ind w:right="-8"/>
              <w:jc w:val="both"/>
              <w:rPr>
                <w:rFonts w:ascii="Arial" w:hAnsi="Arial" w:cs="Arial"/>
                <w:color w:val="auto"/>
                <w:sz w:val="22"/>
                <w:szCs w:val="22"/>
              </w:rPr>
            </w:pPr>
            <w:r w:rsidRPr="00E85451">
              <w:rPr>
                <w:rFonts w:ascii="Arial" w:hAnsi="Arial" w:cs="Arial"/>
                <w:color w:val="auto"/>
                <w:sz w:val="22"/>
                <w:szCs w:val="22"/>
              </w:rPr>
              <w:t>Tri novozaposlene nacionalne osobe za kontakt su zam</w:t>
            </w:r>
            <w:r w:rsidR="006A7435" w:rsidRPr="00E85451">
              <w:rPr>
                <w:rFonts w:ascii="Arial" w:hAnsi="Arial" w:cs="Arial"/>
                <w:color w:val="auto"/>
                <w:sz w:val="22"/>
                <w:szCs w:val="22"/>
              </w:rPr>
              <w:t>i</w:t>
            </w:r>
            <w:r w:rsidRPr="00E85451">
              <w:rPr>
                <w:rFonts w:ascii="Arial" w:hAnsi="Arial" w:cs="Arial"/>
                <w:color w:val="auto"/>
                <w:sz w:val="22"/>
                <w:szCs w:val="22"/>
              </w:rPr>
              <w:t>jenil</w:t>
            </w:r>
            <w:r w:rsidR="00ED35AE" w:rsidRPr="00E85451">
              <w:rPr>
                <w:rFonts w:ascii="Arial" w:hAnsi="Arial" w:cs="Arial"/>
                <w:color w:val="auto"/>
                <w:sz w:val="22"/>
                <w:szCs w:val="22"/>
              </w:rPr>
              <w:t xml:space="preserve">e </w:t>
            </w:r>
            <w:r w:rsidRPr="00E85451">
              <w:rPr>
                <w:rFonts w:ascii="Arial" w:hAnsi="Arial" w:cs="Arial"/>
                <w:color w:val="auto"/>
                <w:sz w:val="22"/>
                <w:szCs w:val="22"/>
              </w:rPr>
              <w:t xml:space="preserve">djelatnike koji su napustili Odjel. Novozaposleni djelatnici su tijekom probnog rada prolazili obuke i osposobljavanja za nove poslove uz pomoć iskusnijih djelatnika. </w:t>
            </w:r>
          </w:p>
          <w:p w:rsidR="005F1ABB" w:rsidRPr="00E85451" w:rsidRDefault="005F1ABB" w:rsidP="00ED35AE">
            <w:pPr>
              <w:ind w:right="-8"/>
              <w:jc w:val="both"/>
              <w:rPr>
                <w:rFonts w:ascii="Arial" w:hAnsi="Arial" w:cs="Arial"/>
                <w:color w:val="auto"/>
                <w:sz w:val="22"/>
                <w:szCs w:val="22"/>
              </w:rPr>
            </w:pPr>
            <w:r w:rsidRPr="00E85451">
              <w:rPr>
                <w:rFonts w:ascii="Arial" w:hAnsi="Arial" w:cs="Arial"/>
                <w:color w:val="auto"/>
                <w:sz w:val="22"/>
                <w:szCs w:val="22"/>
              </w:rPr>
              <w:t>Tijekom 2014.</w:t>
            </w:r>
            <w:r w:rsidR="006A7435" w:rsidRPr="00E85451">
              <w:rPr>
                <w:rFonts w:ascii="Arial" w:hAnsi="Arial" w:cs="Arial"/>
                <w:color w:val="auto"/>
                <w:sz w:val="22"/>
                <w:szCs w:val="22"/>
              </w:rPr>
              <w:t xml:space="preserve"> </w:t>
            </w:r>
            <w:r w:rsidRPr="00E85451">
              <w:rPr>
                <w:rFonts w:ascii="Arial" w:hAnsi="Arial" w:cs="Arial"/>
                <w:color w:val="auto"/>
                <w:sz w:val="22"/>
                <w:szCs w:val="22"/>
              </w:rPr>
              <w:t>godine djelatnici su informirali i širili informacije o programu, savjetovali i pružali potporu u pronalaženju prikladnih tema i modela uključivanja hrvatskih dionika u program, organizirali informativne dane, radionice i individualna savjetovanja, sudjelovali u promotivnim aktivnostima programa, surađivali s predstavnicima Europske komisije, sudjelovali na sastancima za nacionalne osobe za kontakt u organizaciji Europske komisije i sastancima Programskih odbora, surađivali s predstavnicima Ministarstva znanosti obrazovanja i sporta vezano za program O 2020.,</w:t>
            </w:r>
            <w:r w:rsidR="0027181E">
              <w:rPr>
                <w:rFonts w:ascii="Arial" w:hAnsi="Arial" w:cs="Arial"/>
                <w:color w:val="auto"/>
                <w:sz w:val="22"/>
                <w:szCs w:val="22"/>
              </w:rPr>
              <w:t xml:space="preserve"> </w:t>
            </w:r>
            <w:r w:rsidRPr="00E85451">
              <w:rPr>
                <w:rFonts w:ascii="Arial" w:hAnsi="Arial" w:cs="Arial"/>
                <w:color w:val="auto"/>
                <w:sz w:val="22"/>
                <w:szCs w:val="22"/>
              </w:rPr>
              <w:t xml:space="preserve">sudjelovali u partnerskim konzultacijama vezano za izradu Strategije pametne specijalizacije u organizaciji MINGO, te sudjelovali kao aktivni partneri u pripremi 11 mrežnih projekata za </w:t>
            </w:r>
            <w:r w:rsidRPr="00E85451">
              <w:rPr>
                <w:rFonts w:ascii="Arial" w:hAnsi="Arial" w:cs="Arial"/>
                <w:color w:val="auto"/>
                <w:sz w:val="22"/>
                <w:szCs w:val="22"/>
              </w:rPr>
              <w:lastRenderedPageBreak/>
              <w:t>nacionalne kontakt osobe (NCP projekti)</w:t>
            </w:r>
            <w:r w:rsidR="00ED35AE" w:rsidRPr="00E85451">
              <w:rPr>
                <w:rFonts w:ascii="Arial" w:hAnsi="Arial" w:cs="Arial"/>
                <w:color w:val="auto"/>
                <w:sz w:val="22"/>
                <w:szCs w:val="22"/>
              </w:rPr>
              <w:t>.</w:t>
            </w:r>
          </w:p>
        </w:tc>
      </w:tr>
      <w:tr w:rsidR="00E85451" w:rsidRPr="00E85451" w:rsidTr="005F1ABB">
        <w:tc>
          <w:tcPr>
            <w:tcW w:w="1560" w:type="dxa"/>
            <w:tcMar>
              <w:top w:w="88" w:type="dxa"/>
              <w:left w:w="88" w:type="dxa"/>
              <w:bottom w:w="88" w:type="dxa"/>
              <w:right w:w="88" w:type="dxa"/>
            </w:tcMar>
          </w:tcPr>
          <w:p w:rsidR="005F1ABB" w:rsidRPr="00E85451" w:rsidRDefault="005F1ABB" w:rsidP="005F1ABB">
            <w:pPr>
              <w:ind w:right="-8"/>
              <w:rPr>
                <w:rFonts w:ascii="Arial" w:hAnsi="Arial" w:cs="Arial"/>
                <w:color w:val="auto"/>
                <w:sz w:val="22"/>
                <w:szCs w:val="22"/>
              </w:rPr>
            </w:pPr>
            <w:r w:rsidRPr="00E85451">
              <w:rPr>
                <w:rFonts w:ascii="Arial" w:eastAsia="Arial" w:hAnsi="Arial" w:cs="Arial"/>
                <w:color w:val="auto"/>
                <w:sz w:val="22"/>
                <w:szCs w:val="22"/>
              </w:rPr>
              <w:lastRenderedPageBreak/>
              <w:t>Informativna, promotivna i potporna događanja</w:t>
            </w:r>
          </w:p>
        </w:tc>
        <w:tc>
          <w:tcPr>
            <w:tcW w:w="8017" w:type="dxa"/>
            <w:tcMar>
              <w:top w:w="88" w:type="dxa"/>
              <w:left w:w="88" w:type="dxa"/>
              <w:bottom w:w="88" w:type="dxa"/>
              <w:right w:w="88" w:type="dxa"/>
            </w:tcMar>
          </w:tcPr>
          <w:p w:rsidR="005F1ABB" w:rsidRPr="00E85451" w:rsidRDefault="0027181E" w:rsidP="005F1ABB">
            <w:pPr>
              <w:widowControl/>
              <w:ind w:right="-9"/>
              <w:jc w:val="both"/>
              <w:rPr>
                <w:rFonts w:ascii="Arial" w:hAnsi="Arial" w:cs="Arial"/>
                <w:color w:val="auto"/>
                <w:sz w:val="22"/>
                <w:szCs w:val="22"/>
              </w:rPr>
            </w:pPr>
            <w:r>
              <w:rPr>
                <w:rFonts w:ascii="Arial" w:hAnsi="Arial" w:cs="Arial"/>
                <w:color w:val="auto"/>
                <w:sz w:val="22"/>
                <w:szCs w:val="22"/>
              </w:rPr>
              <w:t>Nacionalne kontakt osobe iz O</w:t>
            </w:r>
            <w:r w:rsidR="005F1ABB" w:rsidRPr="00E85451">
              <w:rPr>
                <w:rFonts w:ascii="Arial" w:hAnsi="Arial" w:cs="Arial"/>
                <w:color w:val="auto"/>
                <w:sz w:val="22"/>
                <w:szCs w:val="22"/>
              </w:rPr>
              <w:t>djela za O</w:t>
            </w:r>
            <w:r w:rsidR="00ED35AE" w:rsidRPr="00E85451">
              <w:rPr>
                <w:rFonts w:ascii="Arial" w:hAnsi="Arial" w:cs="Arial"/>
                <w:color w:val="auto"/>
                <w:sz w:val="22"/>
                <w:szCs w:val="22"/>
              </w:rPr>
              <w:t>bzor</w:t>
            </w:r>
            <w:r w:rsidR="005F1ABB" w:rsidRPr="00E85451">
              <w:rPr>
                <w:rFonts w:ascii="Arial" w:hAnsi="Arial" w:cs="Arial"/>
                <w:color w:val="auto"/>
                <w:sz w:val="22"/>
                <w:szCs w:val="22"/>
              </w:rPr>
              <w:t xml:space="preserve"> 2020. su tijekom 2014.</w:t>
            </w:r>
            <w:r w:rsidR="006A7435" w:rsidRPr="00E85451">
              <w:rPr>
                <w:rFonts w:ascii="Arial" w:hAnsi="Arial" w:cs="Arial"/>
                <w:color w:val="auto"/>
                <w:sz w:val="22"/>
                <w:szCs w:val="22"/>
              </w:rPr>
              <w:t xml:space="preserve"> </w:t>
            </w:r>
            <w:r w:rsidR="005F1ABB" w:rsidRPr="00E85451">
              <w:rPr>
                <w:rFonts w:ascii="Arial" w:hAnsi="Arial" w:cs="Arial"/>
                <w:color w:val="auto"/>
                <w:sz w:val="22"/>
                <w:szCs w:val="22"/>
              </w:rPr>
              <w:t>godine sudjelovale na 40 događanja na kojima su održali 52 p</w:t>
            </w:r>
            <w:r w:rsidR="006A7435" w:rsidRPr="00E85451">
              <w:rPr>
                <w:rFonts w:ascii="Arial" w:hAnsi="Arial" w:cs="Arial"/>
                <w:color w:val="auto"/>
                <w:sz w:val="22"/>
                <w:szCs w:val="22"/>
              </w:rPr>
              <w:t>re</w:t>
            </w:r>
            <w:r w:rsidR="005F1ABB" w:rsidRPr="00E85451">
              <w:rPr>
                <w:rFonts w:ascii="Arial" w:hAnsi="Arial" w:cs="Arial"/>
                <w:color w:val="auto"/>
                <w:sz w:val="22"/>
                <w:szCs w:val="22"/>
              </w:rPr>
              <w:t>zentacije iz 13  područja programa O</w:t>
            </w:r>
            <w:r w:rsidR="00ED35AE" w:rsidRPr="00E85451">
              <w:rPr>
                <w:rFonts w:ascii="Arial" w:hAnsi="Arial" w:cs="Arial"/>
                <w:color w:val="auto"/>
                <w:sz w:val="22"/>
                <w:szCs w:val="22"/>
              </w:rPr>
              <w:t>bzora</w:t>
            </w:r>
            <w:r w:rsidR="005F1ABB" w:rsidRPr="00E85451">
              <w:rPr>
                <w:rFonts w:ascii="Arial" w:hAnsi="Arial" w:cs="Arial"/>
                <w:color w:val="auto"/>
                <w:sz w:val="22"/>
                <w:szCs w:val="22"/>
              </w:rPr>
              <w:t xml:space="preserve"> 2020. u Zagrebu, Rijeci, Splitu, Poreču, Dubrovniku, Varaždinu, Osijeku i Beogradu.  </w:t>
            </w:r>
          </w:p>
          <w:p w:rsidR="005F1ABB" w:rsidRPr="00E85451" w:rsidRDefault="005F1ABB" w:rsidP="005F1ABB">
            <w:pPr>
              <w:widowControl/>
              <w:ind w:right="-9"/>
              <w:jc w:val="both"/>
              <w:rPr>
                <w:rFonts w:ascii="Arial" w:hAnsi="Arial" w:cs="Arial"/>
                <w:color w:val="auto"/>
                <w:sz w:val="22"/>
                <w:szCs w:val="22"/>
              </w:rPr>
            </w:pP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O 2020. Zdravlje, 10.01.2014., Split, Sveučilište</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Hrana + Biotehnologija, Klima, 13.01.2014., Zagreb, PBF</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O 2020. Energija,15.01.2014., Zagreb, FER</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O 2020. Transport, 17.01.2014., Zagreb, FSB</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O 2020. Svemir + Širenje izvrsnosti i sudjelovanja, 20.01.2014., Zagreb, AMPEU</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Hrana + Biotehnologija, Klima, 21.01.2014., Zagreb, HCPHS</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O 2020. ICT, 22.01.2014., Zagreb, FER</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Hrana + Biotehnologija, 23.01.2014., Zagreb, Agronomski fakultet</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O 2020. Nanotehnologija + Širenje izv. i sudjelovanja, 29.01.2014., Zagreb,    AMPEU</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Hrana + Biotehnologija,Klima,JRC,, 30.01.2014., Zagreb, Agronomski fakultet</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O 2020. Uključiva, ino. i promišljena dr. + Zn. u i za dr, 31.01.2014., Zagreb, MZOS</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Transport - Shift2Rail, 06.02.2014., Zagreb, FER</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Prezentacija na Simpoziju  agronoma Hrana + Bioteh., Klima, 17.02.2014., Dubrovnik</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Radionica, Širenje izvrsnosti i sudjelovanja, 20.02.2014., Zagreb, MZOS</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Hrana + Biotehnologija, Klima, 24.02.2014., Poreč, IPTPO</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Obzor 2020.- ICT, Zdravlje, Hrana + Biotehnologija, Klima, Energija,Transport, Uključiva, ino. i promišljena društva, Znanost u i za društvo, Širenje izvrsnosti i sudjelovanja, JRC, 24.02.2014., Rijeka, Znanstveno-tehnologijski park</w:t>
            </w:r>
          </w:p>
          <w:p w:rsidR="005F1ABB" w:rsidRPr="00E85451" w:rsidRDefault="00C17C3D"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Uključiva, ino.</w:t>
            </w:r>
            <w:r w:rsidR="005F1ABB" w:rsidRPr="00E85451">
              <w:rPr>
                <w:rFonts w:ascii="Arial" w:hAnsi="Arial" w:cs="Arial"/>
                <w:color w:val="auto"/>
                <w:sz w:val="22"/>
                <w:szCs w:val="22"/>
              </w:rPr>
              <w:t xml:space="preserve"> i promišljena društva, 07.03.2014., Split, FFST</w:t>
            </w:r>
          </w:p>
          <w:p w:rsidR="005F1ABB" w:rsidRPr="00E85451" w:rsidRDefault="00C17C3D"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Uključiva, ino.</w:t>
            </w:r>
            <w:r w:rsidR="005F1ABB" w:rsidRPr="00E85451">
              <w:rPr>
                <w:rFonts w:ascii="Arial" w:hAnsi="Arial" w:cs="Arial"/>
                <w:color w:val="auto"/>
                <w:sz w:val="22"/>
                <w:szCs w:val="22"/>
              </w:rPr>
              <w:t xml:space="preserve"> i promišljena društva, 17.03.2014., Zagreb, FFZG</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Prezentacija O 2020 NMP+B UNIZG-</w:t>
            </w:r>
            <w:r w:rsidR="00C17C3D" w:rsidRPr="00E85451">
              <w:rPr>
                <w:rFonts w:ascii="Arial" w:hAnsi="Arial" w:cs="Arial"/>
                <w:color w:val="auto"/>
                <w:sz w:val="22"/>
                <w:szCs w:val="22"/>
              </w:rPr>
              <w:t xml:space="preserve"> </w:t>
            </w:r>
            <w:r w:rsidRPr="00E85451">
              <w:rPr>
                <w:rFonts w:ascii="Arial" w:hAnsi="Arial" w:cs="Arial"/>
                <w:color w:val="auto"/>
                <w:sz w:val="22"/>
                <w:szCs w:val="22"/>
              </w:rPr>
              <w:t>Mjesec inovacija, 18.03.2014., Zagreb, UNIZG</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ICT, 27.03.2014., Zagreb, HUP</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Širenje izvrsnosti i sudjelovanja, 25.03.2014., Zagreb, Hrvatski veterinarski institut</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Uvod u Obzor 2020., 09.04.2014., Zagreb, Veterinarski fakultet</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Zdr</w:t>
            </w:r>
            <w:r w:rsidR="00C17C3D" w:rsidRPr="00E85451">
              <w:rPr>
                <w:rFonts w:ascii="Arial" w:hAnsi="Arial" w:cs="Arial"/>
                <w:color w:val="auto"/>
                <w:sz w:val="22"/>
                <w:szCs w:val="22"/>
              </w:rPr>
              <w:t xml:space="preserve">avlje, 13.05.2014., Zadar, Sveučilište </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ICT, 14.05.2014., Varaždin, FOI</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Prezentacija na konferenciji, Uključiva, ino. i promišljena dr.,15.5.2014., Beograd, SEEDI</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Prezentacija O 2020., Energija, 15.05.2014., Zagreb, HGK</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O 2020. Sigurnost, 22.05.2014., Zagreb, AMPEU</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Prezentacija O 2020., Energija, 26.05.2014., Rijeka, Transadria</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Prezentacija O 2020., Energija, 27.05.2014., Zagreb, UniZg</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lastRenderedPageBreak/>
              <w:t>Info dan Energija, 30.05.2014., Poreč, Velika gradska vijećnica</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Uključiva, ino. i promišljena društva; Zn. u i za društvo, 11.06.2014., Zagreb, FPZG</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Radionica, Širenje izvrsnosti i sudjelovanja, 12.06.2014., Zagreb, FSB</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Uključiva, ino. i promišljena dr.; Zn. u i za društvo, 15.09.2014., Osijek, Sveučilište</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Prezentacija O 2020., Energija, 19.09.2014., Zagreb, Regionalna energetska organizacija</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ICT, 03.10.2014., Zagreb, UniZg, Susret industrije i istraživača</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Radionica, Uključiva, inovativna i promišljena društva, 16.11.2014., Dubrovnik, IUC</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Širenje izvrsnosti i sudjelovanja, 19.11.2014., Dubrovnik, IUC</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Prezentacija O 2020., Sigurnost, 27.</w:t>
            </w:r>
            <w:r w:rsidR="00C17C3D" w:rsidRPr="00E85451">
              <w:rPr>
                <w:rFonts w:ascii="Arial" w:hAnsi="Arial" w:cs="Arial"/>
                <w:color w:val="auto"/>
                <w:sz w:val="22"/>
                <w:szCs w:val="22"/>
              </w:rPr>
              <w:t>11.2014., Zg</w:t>
            </w:r>
            <w:r w:rsidRPr="00E85451">
              <w:rPr>
                <w:rFonts w:ascii="Arial" w:hAnsi="Arial" w:cs="Arial"/>
                <w:color w:val="auto"/>
                <w:sz w:val="22"/>
                <w:szCs w:val="22"/>
              </w:rPr>
              <w:t>, Hrvatski ceh zaštitara</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Info dan ICT, 2.12.2014., Split, Sveučilište</w:t>
            </w:r>
          </w:p>
          <w:p w:rsidR="005F1ABB" w:rsidRPr="00E85451" w:rsidRDefault="005F1ABB" w:rsidP="00BA6C9C">
            <w:pPr>
              <w:widowControl/>
              <w:numPr>
                <w:ilvl w:val="0"/>
                <w:numId w:val="12"/>
              </w:numPr>
              <w:spacing w:line="276" w:lineRule="auto"/>
              <w:ind w:left="714" w:right="-11" w:hanging="357"/>
              <w:rPr>
                <w:rFonts w:ascii="Arial" w:hAnsi="Arial" w:cs="Arial"/>
                <w:color w:val="auto"/>
                <w:sz w:val="22"/>
                <w:szCs w:val="22"/>
              </w:rPr>
            </w:pPr>
            <w:r w:rsidRPr="00E85451">
              <w:rPr>
                <w:rFonts w:ascii="Arial" w:hAnsi="Arial" w:cs="Arial"/>
                <w:color w:val="auto"/>
                <w:sz w:val="22"/>
                <w:szCs w:val="22"/>
              </w:rPr>
              <w:t>Radionica, Energija, 16.12.2014., Zagreb, Gradski ured za energetiku</w:t>
            </w:r>
          </w:p>
          <w:p w:rsidR="005F1ABB" w:rsidRPr="00E85451" w:rsidRDefault="005F1ABB" w:rsidP="005F1ABB">
            <w:pPr>
              <w:widowControl/>
              <w:ind w:left="720" w:right="-9"/>
              <w:jc w:val="both"/>
              <w:rPr>
                <w:rFonts w:ascii="Arial" w:hAnsi="Arial" w:cs="Arial"/>
                <w:color w:val="auto"/>
                <w:sz w:val="22"/>
                <w:szCs w:val="22"/>
              </w:rPr>
            </w:pPr>
          </w:p>
          <w:p w:rsidR="0027181E" w:rsidRDefault="005F1ABB" w:rsidP="00ED35AE">
            <w:pPr>
              <w:widowControl/>
              <w:ind w:right="-9"/>
              <w:jc w:val="both"/>
              <w:rPr>
                <w:rFonts w:ascii="Arial" w:hAnsi="Arial" w:cs="Arial"/>
                <w:color w:val="auto"/>
                <w:sz w:val="22"/>
                <w:szCs w:val="22"/>
              </w:rPr>
            </w:pPr>
            <w:r w:rsidRPr="00E85451">
              <w:rPr>
                <w:rFonts w:ascii="Arial" w:hAnsi="Arial" w:cs="Arial"/>
                <w:color w:val="auto"/>
                <w:sz w:val="22"/>
                <w:szCs w:val="22"/>
              </w:rPr>
              <w:t>Sve nacionalne osobe za kontakt su sudjelovale zajedno s predstavnicima MZOS-a u pripremi i organizaciji glavnog događanja, predstavljanja  programa Obzor 2020.- svečana nacionalna konferencija u veljači 2014.</w:t>
            </w:r>
            <w:r w:rsidR="0027181E">
              <w:rPr>
                <w:rFonts w:ascii="Arial" w:hAnsi="Arial" w:cs="Arial"/>
                <w:color w:val="auto"/>
                <w:sz w:val="22"/>
                <w:szCs w:val="22"/>
              </w:rPr>
              <w:t xml:space="preserve"> </w:t>
            </w:r>
            <w:r w:rsidRPr="00E85451">
              <w:rPr>
                <w:rFonts w:ascii="Arial" w:hAnsi="Arial" w:cs="Arial"/>
                <w:color w:val="auto"/>
                <w:sz w:val="22"/>
                <w:szCs w:val="22"/>
              </w:rPr>
              <w:t xml:space="preserve">godine u NSK s preko 250 sudionika. </w:t>
            </w:r>
          </w:p>
          <w:p w:rsidR="0027181E" w:rsidRDefault="005F1ABB" w:rsidP="00ED35AE">
            <w:pPr>
              <w:widowControl/>
              <w:ind w:right="-9"/>
              <w:jc w:val="both"/>
              <w:rPr>
                <w:rFonts w:ascii="Arial" w:hAnsi="Arial" w:cs="Arial"/>
                <w:color w:val="auto"/>
                <w:sz w:val="22"/>
                <w:szCs w:val="22"/>
              </w:rPr>
            </w:pPr>
            <w:r w:rsidRPr="00E85451">
              <w:rPr>
                <w:rFonts w:ascii="Arial" w:hAnsi="Arial" w:cs="Arial"/>
                <w:color w:val="auto"/>
                <w:sz w:val="22"/>
                <w:szCs w:val="22"/>
              </w:rPr>
              <w:t>Kont</w:t>
            </w:r>
            <w:r w:rsidR="001F05DD" w:rsidRPr="00E85451">
              <w:rPr>
                <w:rFonts w:ascii="Arial" w:hAnsi="Arial" w:cs="Arial"/>
                <w:color w:val="auto"/>
                <w:sz w:val="22"/>
                <w:szCs w:val="22"/>
              </w:rPr>
              <w:t>i</w:t>
            </w:r>
            <w:r w:rsidRPr="00E85451">
              <w:rPr>
                <w:rFonts w:ascii="Arial" w:hAnsi="Arial" w:cs="Arial"/>
                <w:color w:val="auto"/>
                <w:sz w:val="22"/>
                <w:szCs w:val="22"/>
              </w:rPr>
              <w:t xml:space="preserve">nuirano su se odvijala pojedinačna savjetovanja zainteresiranih znanstvenika za specifična pitanja u određenim područjima, putem mjesečnog e-mail newsletter-a odaslane su razne obavijesti o novim natječajima i inicijativama, mogućnostima partnerstva s drugim EU partnerima, stručnim konferencijama, savjetovanjima o projektima (pre-screening of proposal), mogućnostima poslovnog umrežavanja (brokerage events) i radionicama u organizaciji raznih EU konzorcija, Europske komisije ili drugih dionika. </w:t>
            </w:r>
          </w:p>
          <w:p w:rsidR="005F1ABB" w:rsidRPr="00E85451" w:rsidRDefault="005F1ABB" w:rsidP="00ED35AE">
            <w:pPr>
              <w:widowControl/>
              <w:ind w:right="-9"/>
              <w:jc w:val="both"/>
              <w:rPr>
                <w:rFonts w:ascii="Arial" w:hAnsi="Arial" w:cs="Arial"/>
                <w:color w:val="auto"/>
                <w:sz w:val="22"/>
                <w:szCs w:val="22"/>
              </w:rPr>
            </w:pPr>
            <w:r w:rsidRPr="00E85451">
              <w:rPr>
                <w:rFonts w:ascii="Arial" w:hAnsi="Arial" w:cs="Arial"/>
                <w:color w:val="auto"/>
                <w:sz w:val="22"/>
                <w:szCs w:val="22"/>
              </w:rPr>
              <w:t xml:space="preserve">Na nacionalnom portalu za program Obzor 2020. </w:t>
            </w:r>
            <w:hyperlink r:id="rId10" w:history="1">
              <w:r w:rsidR="00A673F6" w:rsidRPr="00E85451">
                <w:rPr>
                  <w:rStyle w:val="Hyperlink"/>
                  <w:rFonts w:ascii="Arial" w:hAnsi="Arial" w:cs="Arial"/>
                  <w:color w:val="auto"/>
                  <w:sz w:val="22"/>
                  <w:szCs w:val="22"/>
                </w:rPr>
                <w:t>http://www.obzor2020.hr/</w:t>
              </w:r>
            </w:hyperlink>
            <w:r w:rsidR="00A673F6" w:rsidRPr="00E85451">
              <w:rPr>
                <w:rFonts w:ascii="Arial" w:hAnsi="Arial" w:cs="Arial"/>
                <w:color w:val="auto"/>
                <w:sz w:val="22"/>
                <w:szCs w:val="22"/>
              </w:rPr>
              <w:t xml:space="preserve"> </w:t>
            </w:r>
            <w:r w:rsidRPr="00E85451">
              <w:rPr>
                <w:rFonts w:ascii="Arial" w:hAnsi="Arial" w:cs="Arial"/>
                <w:color w:val="auto"/>
                <w:sz w:val="22"/>
                <w:szCs w:val="22"/>
              </w:rPr>
              <w:t>tijekom 2014</w:t>
            </w:r>
            <w:r w:rsidR="001F05DD" w:rsidRPr="00E85451">
              <w:rPr>
                <w:rFonts w:ascii="Arial" w:hAnsi="Arial" w:cs="Arial"/>
                <w:color w:val="auto"/>
                <w:sz w:val="22"/>
                <w:szCs w:val="22"/>
              </w:rPr>
              <w:t>. g.</w:t>
            </w:r>
            <w:r w:rsidRPr="00E85451">
              <w:rPr>
                <w:rFonts w:ascii="Arial" w:hAnsi="Arial" w:cs="Arial"/>
                <w:color w:val="auto"/>
                <w:sz w:val="22"/>
                <w:szCs w:val="22"/>
              </w:rPr>
              <w:t xml:space="preserve"> je objavljena 61 novost s poveznicama i mogućnosti preuzimanja raznih prezentacija vezanih za pojedine teme programa Obzor 2020. Promotivni letak o Okvirnom programu Europske unije za istraživanje i inovacije – Obzor 2020.</w:t>
            </w:r>
            <w:r w:rsidR="001F05DD" w:rsidRPr="00E85451">
              <w:rPr>
                <w:rFonts w:ascii="Arial" w:hAnsi="Arial" w:cs="Arial"/>
                <w:color w:val="auto"/>
                <w:sz w:val="22"/>
                <w:szCs w:val="22"/>
              </w:rPr>
              <w:t xml:space="preserve"> </w:t>
            </w:r>
            <w:r w:rsidRPr="00E85451">
              <w:rPr>
                <w:rFonts w:ascii="Arial" w:hAnsi="Arial" w:cs="Arial"/>
                <w:color w:val="auto"/>
                <w:sz w:val="22"/>
                <w:szCs w:val="22"/>
              </w:rPr>
              <w:t>tiskan je u cilju još bolje promidžbe programa Obzor 2020.</w:t>
            </w:r>
          </w:p>
          <w:p w:rsidR="00ED35AE" w:rsidRPr="00E85451" w:rsidRDefault="00ED35AE" w:rsidP="00ED35AE">
            <w:pPr>
              <w:widowControl/>
              <w:ind w:right="-9"/>
              <w:jc w:val="both"/>
              <w:rPr>
                <w:rFonts w:ascii="Arial" w:hAnsi="Arial" w:cs="Arial"/>
                <w:color w:val="auto"/>
                <w:sz w:val="22"/>
                <w:szCs w:val="22"/>
              </w:rPr>
            </w:pPr>
          </w:p>
        </w:tc>
      </w:tr>
    </w:tbl>
    <w:p w:rsidR="005C490D" w:rsidRPr="00E85451" w:rsidRDefault="005C490D">
      <w:pPr>
        <w:ind w:right="-8"/>
        <w:jc w:val="both"/>
        <w:rPr>
          <w:rFonts w:ascii="Arial" w:hAnsi="Arial" w:cs="Arial"/>
          <w:color w:val="auto"/>
          <w:sz w:val="22"/>
          <w:szCs w:val="22"/>
        </w:rPr>
      </w:pPr>
    </w:p>
    <w:p w:rsidR="00B97010" w:rsidRPr="000F3158" w:rsidRDefault="00B97010" w:rsidP="00601741">
      <w:pPr>
        <w:pStyle w:val="Heading2"/>
        <w:rPr>
          <w:rFonts w:ascii="Arial" w:hAnsi="Arial" w:cs="Arial"/>
          <w:color w:val="auto"/>
          <w:sz w:val="24"/>
          <w:szCs w:val="24"/>
        </w:rPr>
      </w:pPr>
      <w:bookmarkStart w:id="24" w:name="_Toc419192160"/>
      <w:r w:rsidRPr="000F3158">
        <w:rPr>
          <w:rFonts w:ascii="Arial" w:hAnsi="Arial" w:cs="Arial"/>
          <w:color w:val="auto"/>
          <w:sz w:val="24"/>
          <w:szCs w:val="24"/>
        </w:rPr>
        <w:t>2.9. Sedmi okvirni program za istraživanje i tehnološki razvoj (FP7)</w:t>
      </w:r>
      <w:bookmarkEnd w:id="24"/>
    </w:p>
    <w:p w:rsidR="00B97010" w:rsidRPr="00E85451" w:rsidRDefault="00B97010">
      <w:pPr>
        <w:ind w:right="-8"/>
        <w:jc w:val="both"/>
        <w:rPr>
          <w:rFonts w:ascii="Arial" w:hAnsi="Arial" w:cs="Arial"/>
          <w:color w:val="auto"/>
          <w:sz w:val="22"/>
          <w:szCs w:val="22"/>
        </w:rPr>
      </w:pPr>
    </w:p>
    <w:p w:rsidR="00F2429F" w:rsidRPr="00E85451" w:rsidRDefault="00F2429F" w:rsidP="00F2429F">
      <w:pPr>
        <w:ind w:right="-8"/>
        <w:jc w:val="both"/>
        <w:rPr>
          <w:rFonts w:ascii="Arial" w:eastAsia="Arial" w:hAnsi="Arial" w:cs="Arial"/>
          <w:color w:val="auto"/>
          <w:sz w:val="22"/>
          <w:szCs w:val="22"/>
        </w:rPr>
      </w:pPr>
      <w:r w:rsidRPr="00E85451">
        <w:rPr>
          <w:rFonts w:ascii="Arial" w:eastAsia="Arial" w:hAnsi="Arial" w:cs="Arial"/>
          <w:color w:val="auto"/>
          <w:sz w:val="22"/>
          <w:szCs w:val="22"/>
        </w:rPr>
        <w:t>Okvirni program za istraživanje i tehnološki razvoj ili skraćeno Okvirni program (</w:t>
      </w:r>
      <w:r w:rsidRPr="00E85451">
        <w:rPr>
          <w:rFonts w:ascii="Arial" w:eastAsia="Arial" w:hAnsi="Arial" w:cs="Arial"/>
          <w:i/>
          <w:iCs/>
          <w:color w:val="auto"/>
          <w:sz w:val="22"/>
          <w:szCs w:val="22"/>
        </w:rPr>
        <w:t xml:space="preserve">Framework programme - </w:t>
      </w:r>
      <w:r w:rsidRPr="00E85451">
        <w:rPr>
          <w:rFonts w:ascii="Arial" w:eastAsia="Arial" w:hAnsi="Arial" w:cs="Arial"/>
          <w:color w:val="auto"/>
          <w:sz w:val="22"/>
          <w:szCs w:val="22"/>
        </w:rPr>
        <w:t>FP) glavni je program Europske unije za financiranje istraživanja i tehnološkog razvoja. Sedmi okvirni program za istraživanje i tehnološki razvoj (</w:t>
      </w:r>
      <w:r w:rsidRPr="00E85451">
        <w:rPr>
          <w:rFonts w:ascii="Arial" w:eastAsia="Arial" w:hAnsi="Arial" w:cs="Arial"/>
          <w:i/>
          <w:iCs/>
          <w:color w:val="auto"/>
          <w:sz w:val="22"/>
          <w:szCs w:val="22"/>
        </w:rPr>
        <w:t>Seventh Framework Programme</w:t>
      </w:r>
      <w:r w:rsidRPr="00E85451">
        <w:rPr>
          <w:rFonts w:ascii="Arial" w:eastAsia="Arial" w:hAnsi="Arial" w:cs="Arial"/>
          <w:color w:val="auto"/>
          <w:sz w:val="22"/>
          <w:szCs w:val="22"/>
        </w:rPr>
        <w:t xml:space="preserve"> - FP7) predstavlja uokvirenu plansku cjelinu istraživanja u razdoblju od 2007. do kraja 2013. godine, a podijeljen je na četiri specifična potprograma: Suradnja (</w:t>
      </w:r>
      <w:r w:rsidRPr="00E85451">
        <w:rPr>
          <w:rFonts w:ascii="Arial" w:eastAsia="Arial" w:hAnsi="Arial" w:cs="Arial"/>
          <w:i/>
          <w:iCs/>
          <w:color w:val="auto"/>
          <w:sz w:val="22"/>
          <w:szCs w:val="22"/>
        </w:rPr>
        <w:t>Cooperation</w:t>
      </w:r>
      <w:r w:rsidRPr="00E85451">
        <w:rPr>
          <w:rFonts w:ascii="Arial" w:eastAsia="Arial" w:hAnsi="Arial" w:cs="Arial"/>
          <w:color w:val="auto"/>
          <w:sz w:val="22"/>
          <w:szCs w:val="22"/>
        </w:rPr>
        <w:t>); Ideje (</w:t>
      </w:r>
      <w:r w:rsidRPr="00E85451">
        <w:rPr>
          <w:rFonts w:ascii="Arial" w:eastAsia="Arial" w:hAnsi="Arial" w:cs="Arial"/>
          <w:i/>
          <w:iCs/>
          <w:color w:val="auto"/>
          <w:sz w:val="22"/>
          <w:szCs w:val="22"/>
        </w:rPr>
        <w:t>Ideas</w:t>
      </w:r>
      <w:r w:rsidRPr="00E85451">
        <w:rPr>
          <w:rFonts w:ascii="Arial" w:eastAsia="Arial" w:hAnsi="Arial" w:cs="Arial"/>
          <w:color w:val="auto"/>
          <w:sz w:val="22"/>
          <w:szCs w:val="22"/>
        </w:rPr>
        <w:t>); Ljudi (</w:t>
      </w:r>
      <w:r w:rsidRPr="00E85451">
        <w:rPr>
          <w:rFonts w:ascii="Arial" w:eastAsia="Arial" w:hAnsi="Arial" w:cs="Arial"/>
          <w:i/>
          <w:iCs/>
          <w:color w:val="auto"/>
          <w:sz w:val="22"/>
          <w:szCs w:val="22"/>
        </w:rPr>
        <w:t>People</w:t>
      </w:r>
      <w:r w:rsidRPr="00E85451">
        <w:rPr>
          <w:rFonts w:ascii="Arial" w:eastAsia="Arial" w:hAnsi="Arial" w:cs="Arial"/>
          <w:color w:val="auto"/>
          <w:sz w:val="22"/>
          <w:szCs w:val="22"/>
        </w:rPr>
        <w:t>); Kapaciteti (</w:t>
      </w:r>
      <w:r w:rsidRPr="00E85451">
        <w:rPr>
          <w:rFonts w:ascii="Arial" w:eastAsia="Arial" w:hAnsi="Arial" w:cs="Arial"/>
          <w:i/>
          <w:iCs/>
          <w:color w:val="auto"/>
          <w:sz w:val="22"/>
          <w:szCs w:val="22"/>
        </w:rPr>
        <w:t>Capacities</w:t>
      </w:r>
      <w:r w:rsidRPr="00E85451">
        <w:rPr>
          <w:rFonts w:ascii="Arial" w:eastAsia="Arial" w:hAnsi="Arial" w:cs="Arial"/>
          <w:color w:val="auto"/>
          <w:sz w:val="22"/>
          <w:szCs w:val="22"/>
        </w:rPr>
        <w:t xml:space="preserve">). </w:t>
      </w:r>
    </w:p>
    <w:p w:rsidR="00F2429F" w:rsidRPr="00E85451" w:rsidRDefault="00F2429F" w:rsidP="00F2429F">
      <w:pPr>
        <w:ind w:right="-8"/>
        <w:jc w:val="both"/>
        <w:rPr>
          <w:rFonts w:ascii="Arial" w:eastAsia="Arial" w:hAnsi="Arial" w:cs="Arial"/>
          <w:color w:val="auto"/>
          <w:sz w:val="22"/>
          <w:szCs w:val="22"/>
        </w:rPr>
      </w:pPr>
    </w:p>
    <w:p w:rsidR="00F2429F" w:rsidRPr="00E85451" w:rsidRDefault="00F2429F" w:rsidP="00F2429F">
      <w:pPr>
        <w:jc w:val="both"/>
        <w:rPr>
          <w:rFonts w:ascii="Arial" w:hAnsi="Arial" w:cs="Arial"/>
          <w:color w:val="auto"/>
          <w:sz w:val="22"/>
          <w:szCs w:val="22"/>
        </w:rPr>
      </w:pPr>
      <w:r w:rsidRPr="00E85451">
        <w:rPr>
          <w:rFonts w:ascii="Arial" w:hAnsi="Arial" w:cs="Arial"/>
          <w:color w:val="auto"/>
          <w:sz w:val="22"/>
          <w:szCs w:val="22"/>
        </w:rPr>
        <w:t xml:space="preserve">FP7 program završilo je 31.12.2013., odnosno posljednji natječaji u FP7 programu završeni su tijekom 2013. godine. Međutim, pojedini projekti financirani sredstvima iz FP7 programa potpisani su tijekom 2014. godine, a očekuje se da će posljednji projekti završiti 2018. godine. Stoga su sve aktivnosti vezane uz promociju FP7 natječaja završile, a nastavak podrške FP7 korisnicima odnosit će se isključivo na financijsko i pravno savjetovanje. Iz tog </w:t>
      </w:r>
      <w:r w:rsidRPr="00E85451">
        <w:rPr>
          <w:rFonts w:ascii="Arial" w:hAnsi="Arial" w:cs="Arial"/>
          <w:color w:val="auto"/>
          <w:sz w:val="22"/>
          <w:szCs w:val="22"/>
        </w:rPr>
        <w:lastRenderedPageBreak/>
        <w:t>razloga su se aktivnosti u 2014. godini odnosile isključivo na financijska i pravna savjetovanja FP7 korisnika. U 2014. godini partneri iz RH potpisali su 13 Ugovora o dodjeli bespovratnih sredstava u kojima je sudjelovalo 14 hrvatskih partnera s EU doprinosom od 4.419.795,00 eura .</w:t>
      </w:r>
    </w:p>
    <w:p w:rsidR="000F3799" w:rsidRPr="00E85451" w:rsidRDefault="000F3799">
      <w:pPr>
        <w:ind w:right="-8"/>
        <w:jc w:val="both"/>
        <w:rPr>
          <w:rFonts w:ascii="Arial" w:hAnsi="Arial" w:cs="Arial"/>
          <w:color w:val="auto"/>
          <w:sz w:val="22"/>
          <w:szCs w:val="22"/>
        </w:rPr>
      </w:pPr>
    </w:p>
    <w:p w:rsidR="00ED419D" w:rsidRPr="000F3158" w:rsidRDefault="00ED419D" w:rsidP="00601741">
      <w:pPr>
        <w:pStyle w:val="Heading2"/>
        <w:rPr>
          <w:rFonts w:ascii="Arial" w:hAnsi="Arial" w:cs="Arial"/>
          <w:color w:val="auto"/>
          <w:sz w:val="24"/>
          <w:szCs w:val="24"/>
        </w:rPr>
      </w:pPr>
      <w:bookmarkStart w:id="25" w:name="_Toc419192161"/>
      <w:r w:rsidRPr="000F3158">
        <w:rPr>
          <w:rFonts w:ascii="Arial" w:hAnsi="Arial" w:cs="Arial"/>
          <w:color w:val="auto"/>
          <w:sz w:val="24"/>
          <w:szCs w:val="24"/>
        </w:rPr>
        <w:t xml:space="preserve">2.10. Suradnja i izvještavanje </w:t>
      </w:r>
      <w:r w:rsidRPr="00C33DD8">
        <w:rPr>
          <w:rFonts w:ascii="Arial" w:hAnsi="Arial" w:cs="Arial"/>
          <w:color w:val="auto"/>
          <w:sz w:val="24"/>
          <w:szCs w:val="24"/>
        </w:rPr>
        <w:t>spram drugih tijela državne i javne uprave</w:t>
      </w:r>
      <w:bookmarkEnd w:id="25"/>
      <w:r w:rsidRPr="000F3158">
        <w:rPr>
          <w:rFonts w:ascii="Arial" w:hAnsi="Arial" w:cs="Arial"/>
          <w:color w:val="auto"/>
          <w:sz w:val="24"/>
          <w:szCs w:val="24"/>
        </w:rPr>
        <w:t xml:space="preserve"> </w:t>
      </w:r>
    </w:p>
    <w:p w:rsidR="00ED419D" w:rsidRPr="00E85451" w:rsidRDefault="00ED419D">
      <w:pPr>
        <w:ind w:right="-8"/>
        <w:jc w:val="both"/>
        <w:rPr>
          <w:rFonts w:ascii="Arial" w:hAnsi="Arial" w:cs="Arial"/>
          <w:color w:val="auto"/>
          <w:sz w:val="22"/>
          <w:szCs w:val="22"/>
        </w:rPr>
      </w:pPr>
    </w:p>
    <w:p w:rsidR="00A664C3" w:rsidRDefault="00A664C3" w:rsidP="001F05DD">
      <w:pPr>
        <w:pStyle w:val="ListParagraph"/>
        <w:ind w:left="0" w:right="-8"/>
        <w:jc w:val="both"/>
        <w:rPr>
          <w:rFonts w:ascii="Arial" w:hAnsi="Arial" w:cs="Arial"/>
          <w:color w:val="auto"/>
          <w:sz w:val="22"/>
          <w:szCs w:val="22"/>
        </w:rPr>
      </w:pPr>
      <w:r>
        <w:rPr>
          <w:rFonts w:ascii="Arial" w:hAnsi="Arial" w:cs="Arial"/>
          <w:color w:val="auto"/>
          <w:sz w:val="22"/>
          <w:szCs w:val="22"/>
        </w:rPr>
        <w:t>Agencija za mobilnost i programe EU njeguje od samog osnutka kvalitetnu i profesionalnu suradnju s dru</w:t>
      </w:r>
      <w:r w:rsidR="00C33DD8">
        <w:rPr>
          <w:rFonts w:ascii="Arial" w:hAnsi="Arial" w:cs="Arial"/>
          <w:color w:val="auto"/>
          <w:sz w:val="22"/>
          <w:szCs w:val="22"/>
        </w:rPr>
        <w:t>gim državnim i javnim tijelima</w:t>
      </w:r>
      <w:r w:rsidR="005A3545">
        <w:rPr>
          <w:rFonts w:ascii="Arial" w:hAnsi="Arial" w:cs="Arial"/>
          <w:color w:val="auto"/>
          <w:sz w:val="22"/>
          <w:szCs w:val="22"/>
        </w:rPr>
        <w:t>,</w:t>
      </w:r>
      <w:r w:rsidR="00C33DD8">
        <w:rPr>
          <w:rFonts w:ascii="Arial" w:hAnsi="Arial" w:cs="Arial"/>
          <w:color w:val="auto"/>
          <w:sz w:val="22"/>
          <w:szCs w:val="22"/>
        </w:rPr>
        <w:t xml:space="preserve"> </w:t>
      </w:r>
      <w:r>
        <w:rPr>
          <w:rFonts w:ascii="Arial" w:hAnsi="Arial" w:cs="Arial"/>
          <w:color w:val="auto"/>
          <w:sz w:val="22"/>
          <w:szCs w:val="22"/>
        </w:rPr>
        <w:t>a posebice nadležnim ministarstvima – Ministarstvom znanosti, obrazovanja i sporta i Ministarstvom socijalne politike i mladih.</w:t>
      </w:r>
    </w:p>
    <w:p w:rsidR="00A664C3" w:rsidRDefault="00A664C3" w:rsidP="001F05DD">
      <w:pPr>
        <w:pStyle w:val="ListParagraph"/>
        <w:ind w:left="0" w:right="-8"/>
        <w:jc w:val="both"/>
        <w:rPr>
          <w:rFonts w:ascii="Arial" w:hAnsi="Arial" w:cs="Arial"/>
          <w:color w:val="auto"/>
          <w:sz w:val="22"/>
          <w:szCs w:val="22"/>
        </w:rPr>
      </w:pPr>
      <w:r>
        <w:rPr>
          <w:rFonts w:ascii="Arial" w:hAnsi="Arial" w:cs="Arial"/>
          <w:color w:val="auto"/>
          <w:sz w:val="22"/>
          <w:szCs w:val="22"/>
        </w:rPr>
        <w:t>U programskom dijelu, Agencije je aktivno na poziv drugih tijela sudjelovala u nizu radnih skupina i povjerenstava</w:t>
      </w:r>
      <w:r w:rsidR="006251B7">
        <w:rPr>
          <w:rFonts w:ascii="Arial" w:hAnsi="Arial" w:cs="Arial"/>
          <w:color w:val="auto"/>
          <w:sz w:val="22"/>
          <w:szCs w:val="22"/>
        </w:rPr>
        <w:t>, od kojih navodimo samo neke:</w:t>
      </w:r>
    </w:p>
    <w:p w:rsidR="006251B7" w:rsidRDefault="006251B7" w:rsidP="001F05DD">
      <w:pPr>
        <w:pStyle w:val="ListParagraph"/>
        <w:ind w:left="0" w:right="-8"/>
        <w:jc w:val="both"/>
        <w:rPr>
          <w:rFonts w:ascii="Arial" w:hAnsi="Arial" w:cs="Arial"/>
          <w:color w:val="auto"/>
          <w:sz w:val="22"/>
          <w:szCs w:val="22"/>
        </w:rPr>
      </w:pPr>
    </w:p>
    <w:p w:rsidR="006251B7" w:rsidRDefault="006251B7" w:rsidP="001F05DD">
      <w:pPr>
        <w:pStyle w:val="ListParagraph"/>
        <w:ind w:left="0" w:right="-8"/>
        <w:jc w:val="both"/>
        <w:rPr>
          <w:rFonts w:ascii="Arial" w:hAnsi="Arial" w:cs="Arial"/>
          <w:color w:val="auto"/>
          <w:sz w:val="22"/>
          <w:szCs w:val="22"/>
        </w:rPr>
      </w:pPr>
      <w:r>
        <w:rPr>
          <w:rFonts w:ascii="Arial" w:hAnsi="Arial" w:cs="Arial"/>
          <w:color w:val="auto"/>
          <w:sz w:val="22"/>
          <w:szCs w:val="22"/>
        </w:rPr>
        <w:t xml:space="preserve">- </w:t>
      </w:r>
      <w:r w:rsidRPr="00E85451">
        <w:rPr>
          <w:rFonts w:ascii="Arial" w:hAnsi="Arial" w:cs="Arial"/>
          <w:color w:val="auto"/>
          <w:sz w:val="22"/>
          <w:szCs w:val="22"/>
        </w:rPr>
        <w:t>član Foruma za cjeloživotno profesionalno usmjeravanje i razvoj karijere</w:t>
      </w:r>
      <w:r>
        <w:rPr>
          <w:rFonts w:ascii="Arial" w:hAnsi="Arial" w:cs="Arial"/>
          <w:color w:val="auto"/>
          <w:sz w:val="22"/>
          <w:szCs w:val="22"/>
        </w:rPr>
        <w:t xml:space="preserve"> te sudjelovanje u izradi Akcijskog plana Foruma za 2015.g.</w:t>
      </w:r>
      <w:r w:rsidRPr="00E85451">
        <w:rPr>
          <w:rFonts w:ascii="Arial" w:hAnsi="Arial" w:cs="Arial"/>
          <w:color w:val="auto"/>
          <w:sz w:val="22"/>
          <w:szCs w:val="22"/>
        </w:rPr>
        <w:t xml:space="preserve"> (Ministarstvo rada i mirovinskog sustava koordinator)</w:t>
      </w:r>
      <w:r>
        <w:rPr>
          <w:rFonts w:ascii="Arial" w:hAnsi="Arial" w:cs="Arial"/>
          <w:color w:val="auto"/>
          <w:sz w:val="22"/>
          <w:szCs w:val="22"/>
        </w:rPr>
        <w:t>,</w:t>
      </w:r>
    </w:p>
    <w:p w:rsidR="006251B7" w:rsidRDefault="006251B7" w:rsidP="001F05DD">
      <w:pPr>
        <w:pStyle w:val="ListParagraph"/>
        <w:ind w:left="0" w:right="-8"/>
        <w:jc w:val="both"/>
        <w:rPr>
          <w:rFonts w:ascii="Arial" w:hAnsi="Arial" w:cs="Arial"/>
          <w:color w:val="auto"/>
          <w:sz w:val="22"/>
          <w:szCs w:val="22"/>
        </w:rPr>
      </w:pPr>
      <w:r w:rsidRPr="00E85451">
        <w:rPr>
          <w:rFonts w:ascii="Arial" w:hAnsi="Arial" w:cs="Arial"/>
          <w:color w:val="auto"/>
          <w:sz w:val="22"/>
          <w:szCs w:val="22"/>
        </w:rPr>
        <w:t xml:space="preserve">- </w:t>
      </w:r>
      <w:r>
        <w:rPr>
          <w:rFonts w:ascii="Arial" w:hAnsi="Arial" w:cs="Arial"/>
          <w:color w:val="auto"/>
          <w:sz w:val="22"/>
          <w:szCs w:val="22"/>
        </w:rPr>
        <w:t>član Radne skupine</w:t>
      </w:r>
      <w:r w:rsidRPr="00E85451">
        <w:rPr>
          <w:rFonts w:ascii="Arial" w:hAnsi="Arial" w:cs="Arial"/>
          <w:color w:val="auto"/>
          <w:sz w:val="22"/>
          <w:szCs w:val="22"/>
        </w:rPr>
        <w:t xml:space="preserve"> za izradu propisa o združenim studijima i prekograničnoj suradnji u visokom obrazovanju u sklopu KA3 projekta Otklanjanje prepreka u prekograničnoj suradnji - ROCCO (MZOS)</w:t>
      </w:r>
      <w:r>
        <w:rPr>
          <w:rFonts w:ascii="Arial" w:hAnsi="Arial" w:cs="Arial"/>
          <w:color w:val="auto"/>
          <w:sz w:val="22"/>
          <w:szCs w:val="22"/>
        </w:rPr>
        <w:t>,</w:t>
      </w:r>
    </w:p>
    <w:p w:rsidR="006251B7" w:rsidRDefault="006251B7" w:rsidP="006251B7">
      <w:pPr>
        <w:ind w:right="-8"/>
        <w:jc w:val="both"/>
        <w:rPr>
          <w:rFonts w:ascii="Arial" w:hAnsi="Arial" w:cs="Arial"/>
          <w:color w:val="auto"/>
          <w:sz w:val="22"/>
          <w:szCs w:val="22"/>
        </w:rPr>
      </w:pPr>
      <w:r>
        <w:rPr>
          <w:rFonts w:ascii="Arial" w:hAnsi="Arial" w:cs="Arial"/>
          <w:color w:val="auto"/>
          <w:sz w:val="22"/>
          <w:szCs w:val="22"/>
        </w:rPr>
        <w:t>- član Radne skupine</w:t>
      </w:r>
      <w:r w:rsidRPr="006251B7">
        <w:rPr>
          <w:rFonts w:ascii="Arial" w:hAnsi="Arial" w:cs="Arial"/>
          <w:color w:val="auto"/>
          <w:sz w:val="22"/>
          <w:szCs w:val="22"/>
        </w:rPr>
        <w:t xml:space="preserve"> za otklanjanje prepreka mobilnosti </w:t>
      </w:r>
      <w:r>
        <w:rPr>
          <w:rFonts w:ascii="Arial" w:hAnsi="Arial" w:cs="Arial"/>
          <w:color w:val="auto"/>
          <w:sz w:val="22"/>
          <w:szCs w:val="22"/>
        </w:rPr>
        <w:t xml:space="preserve">u obrazovanju </w:t>
      </w:r>
      <w:r w:rsidRPr="006251B7">
        <w:rPr>
          <w:rFonts w:ascii="Arial" w:hAnsi="Arial" w:cs="Arial"/>
          <w:color w:val="auto"/>
          <w:sz w:val="22"/>
          <w:szCs w:val="22"/>
        </w:rPr>
        <w:t>(MZOS)</w:t>
      </w:r>
      <w:r>
        <w:rPr>
          <w:rFonts w:ascii="Arial" w:hAnsi="Arial" w:cs="Arial"/>
          <w:color w:val="auto"/>
          <w:sz w:val="22"/>
          <w:szCs w:val="22"/>
        </w:rPr>
        <w:t>,</w:t>
      </w:r>
    </w:p>
    <w:p w:rsidR="006251B7" w:rsidRDefault="006251B7" w:rsidP="006251B7">
      <w:pPr>
        <w:ind w:right="-8"/>
        <w:jc w:val="both"/>
        <w:rPr>
          <w:rFonts w:ascii="Arial" w:hAnsi="Arial" w:cs="Arial"/>
          <w:color w:val="auto"/>
          <w:sz w:val="22"/>
          <w:szCs w:val="22"/>
        </w:rPr>
      </w:pPr>
      <w:r>
        <w:rPr>
          <w:rFonts w:ascii="Arial" w:hAnsi="Arial" w:cs="Arial"/>
          <w:color w:val="auto"/>
          <w:sz w:val="22"/>
          <w:szCs w:val="22"/>
        </w:rPr>
        <w:t>- član Povjerenstva za mobilnost istraživača (MZOS),</w:t>
      </w:r>
    </w:p>
    <w:p w:rsidR="006251B7" w:rsidRDefault="006251B7" w:rsidP="006251B7">
      <w:pPr>
        <w:ind w:right="-8"/>
        <w:jc w:val="both"/>
        <w:rPr>
          <w:rFonts w:ascii="Arial" w:hAnsi="Arial" w:cs="Arial"/>
          <w:color w:val="auto"/>
          <w:sz w:val="22"/>
          <w:szCs w:val="22"/>
        </w:rPr>
      </w:pPr>
      <w:r>
        <w:rPr>
          <w:rFonts w:ascii="Arial" w:hAnsi="Arial" w:cs="Arial"/>
          <w:color w:val="auto"/>
          <w:sz w:val="22"/>
          <w:szCs w:val="22"/>
        </w:rPr>
        <w:t>- član Radne skupine za izradu Plana razvoja strukovnog obrazovanja i osposobljavanja (MZOS),</w:t>
      </w:r>
    </w:p>
    <w:p w:rsidR="006251B7" w:rsidRDefault="006251B7" w:rsidP="006251B7">
      <w:pPr>
        <w:ind w:right="-8"/>
        <w:jc w:val="both"/>
        <w:rPr>
          <w:rFonts w:ascii="Arial" w:hAnsi="Arial" w:cs="Arial"/>
          <w:color w:val="auto"/>
          <w:sz w:val="22"/>
          <w:szCs w:val="22"/>
        </w:rPr>
      </w:pPr>
      <w:r>
        <w:rPr>
          <w:rFonts w:ascii="Arial" w:hAnsi="Arial" w:cs="Arial"/>
          <w:color w:val="auto"/>
          <w:sz w:val="22"/>
          <w:szCs w:val="22"/>
        </w:rPr>
        <w:t>- član Radne skupine za izradu Strateškog plana MZOS-a 2016-2018 (MZOS),</w:t>
      </w:r>
    </w:p>
    <w:p w:rsidR="006251B7" w:rsidRDefault="006251B7" w:rsidP="006251B7">
      <w:pPr>
        <w:ind w:right="-8"/>
        <w:jc w:val="both"/>
        <w:rPr>
          <w:rFonts w:ascii="Arial" w:hAnsi="Arial" w:cs="Arial"/>
          <w:color w:val="auto"/>
          <w:sz w:val="22"/>
          <w:szCs w:val="22"/>
        </w:rPr>
      </w:pPr>
      <w:r>
        <w:rPr>
          <w:rFonts w:ascii="Arial" w:hAnsi="Arial" w:cs="Arial"/>
          <w:color w:val="auto"/>
          <w:sz w:val="22"/>
          <w:szCs w:val="22"/>
        </w:rPr>
        <w:t>- član Radne skupine Nacionalnog programa za mlade 2014-2017 (MSPM),</w:t>
      </w:r>
    </w:p>
    <w:p w:rsidR="006251B7" w:rsidRDefault="006251B7" w:rsidP="006251B7">
      <w:pPr>
        <w:ind w:right="-8"/>
        <w:jc w:val="both"/>
        <w:rPr>
          <w:rFonts w:ascii="Arial" w:hAnsi="Arial" w:cs="Arial"/>
          <w:color w:val="auto"/>
          <w:sz w:val="22"/>
          <w:szCs w:val="22"/>
        </w:rPr>
      </w:pPr>
      <w:r>
        <w:rPr>
          <w:rFonts w:ascii="Arial" w:hAnsi="Arial" w:cs="Arial"/>
          <w:color w:val="auto"/>
          <w:sz w:val="22"/>
          <w:szCs w:val="22"/>
        </w:rPr>
        <w:t>- član Nacionalne radne skupine za provedbu strukturiranog dijaloga (MSPM),</w:t>
      </w:r>
    </w:p>
    <w:p w:rsidR="006251B7" w:rsidRDefault="006251B7" w:rsidP="006251B7">
      <w:pPr>
        <w:ind w:right="-8"/>
        <w:jc w:val="both"/>
        <w:rPr>
          <w:rFonts w:ascii="Arial" w:hAnsi="Arial" w:cs="Arial"/>
          <w:color w:val="auto"/>
          <w:sz w:val="22"/>
          <w:szCs w:val="22"/>
        </w:rPr>
      </w:pPr>
      <w:r>
        <w:rPr>
          <w:rFonts w:ascii="Arial" w:hAnsi="Arial" w:cs="Arial"/>
          <w:color w:val="auto"/>
          <w:sz w:val="22"/>
          <w:szCs w:val="22"/>
        </w:rPr>
        <w:t>- član Nacionalnog programa za razvoj volonterstva (MSPM),</w:t>
      </w:r>
    </w:p>
    <w:p w:rsidR="006251B7" w:rsidRDefault="006251B7" w:rsidP="006251B7">
      <w:pPr>
        <w:ind w:right="-8"/>
        <w:jc w:val="both"/>
        <w:rPr>
          <w:rFonts w:ascii="Arial" w:hAnsi="Arial" w:cs="Arial"/>
          <w:color w:val="auto"/>
          <w:sz w:val="22"/>
          <w:szCs w:val="22"/>
        </w:rPr>
      </w:pPr>
      <w:r>
        <w:rPr>
          <w:rFonts w:ascii="Arial" w:hAnsi="Arial" w:cs="Arial"/>
          <w:color w:val="auto"/>
          <w:sz w:val="22"/>
          <w:szCs w:val="22"/>
        </w:rPr>
        <w:t>- i dr.</w:t>
      </w:r>
    </w:p>
    <w:p w:rsidR="006251B7" w:rsidRDefault="006251B7" w:rsidP="006251B7">
      <w:pPr>
        <w:ind w:right="-8"/>
        <w:jc w:val="both"/>
        <w:rPr>
          <w:rFonts w:ascii="Arial" w:hAnsi="Arial" w:cs="Arial"/>
          <w:color w:val="auto"/>
          <w:sz w:val="22"/>
          <w:szCs w:val="22"/>
        </w:rPr>
      </w:pPr>
    </w:p>
    <w:p w:rsidR="006251B7" w:rsidRDefault="006251B7" w:rsidP="006251B7">
      <w:pPr>
        <w:ind w:right="-8"/>
        <w:jc w:val="both"/>
        <w:rPr>
          <w:rFonts w:ascii="Arial" w:hAnsi="Arial" w:cs="Arial"/>
          <w:color w:val="auto"/>
          <w:sz w:val="22"/>
          <w:szCs w:val="22"/>
        </w:rPr>
      </w:pPr>
      <w:r>
        <w:rPr>
          <w:rFonts w:ascii="Arial" w:hAnsi="Arial" w:cs="Arial"/>
          <w:color w:val="auto"/>
          <w:sz w:val="22"/>
          <w:szCs w:val="22"/>
        </w:rPr>
        <w:t>U sklopu redovnih aktivnosti, Agencija je na zahtjev drugih tijela dostavljala očitovanja na razne programske i policy dokumente na nacionalnoj razini te doprinosila izradi raznih sektorskih izvješća, poput:</w:t>
      </w:r>
    </w:p>
    <w:p w:rsidR="006251B7" w:rsidRDefault="006251B7" w:rsidP="006251B7">
      <w:pPr>
        <w:ind w:right="-8"/>
        <w:jc w:val="both"/>
        <w:rPr>
          <w:rFonts w:ascii="Arial" w:hAnsi="Arial" w:cs="Arial"/>
          <w:color w:val="auto"/>
          <w:sz w:val="22"/>
          <w:szCs w:val="22"/>
        </w:rPr>
      </w:pPr>
      <w:r>
        <w:rPr>
          <w:rFonts w:ascii="Arial" w:hAnsi="Arial" w:cs="Arial"/>
          <w:color w:val="auto"/>
          <w:sz w:val="22"/>
          <w:szCs w:val="22"/>
        </w:rPr>
        <w:t xml:space="preserve">- </w:t>
      </w:r>
      <w:r w:rsidRPr="006251B7">
        <w:rPr>
          <w:rFonts w:ascii="Arial" w:hAnsi="Arial" w:cs="Arial"/>
          <w:color w:val="auto"/>
          <w:sz w:val="22"/>
          <w:szCs w:val="22"/>
        </w:rPr>
        <w:t>očitovanje na Akcijski plan za internacionalizaciju obrazovanja</w:t>
      </w:r>
      <w:r>
        <w:rPr>
          <w:rFonts w:ascii="Arial" w:hAnsi="Arial" w:cs="Arial"/>
          <w:color w:val="auto"/>
          <w:sz w:val="22"/>
          <w:szCs w:val="22"/>
        </w:rPr>
        <w:t xml:space="preserve"> za razdoblje od 2015. do 2016.,</w:t>
      </w:r>
    </w:p>
    <w:p w:rsidR="006251B7" w:rsidRDefault="006251B7" w:rsidP="00A475C8">
      <w:pPr>
        <w:ind w:right="-8"/>
        <w:jc w:val="both"/>
        <w:rPr>
          <w:rFonts w:ascii="Arial" w:hAnsi="Arial" w:cs="Arial"/>
          <w:color w:val="auto"/>
          <w:sz w:val="22"/>
          <w:szCs w:val="22"/>
        </w:rPr>
      </w:pPr>
      <w:r>
        <w:rPr>
          <w:rFonts w:ascii="Arial" w:hAnsi="Arial" w:cs="Arial"/>
          <w:color w:val="auto"/>
          <w:sz w:val="22"/>
          <w:szCs w:val="22"/>
        </w:rPr>
        <w:t xml:space="preserve">- </w:t>
      </w:r>
      <w:r w:rsidRPr="00E85451">
        <w:rPr>
          <w:rFonts w:ascii="Arial" w:hAnsi="Arial" w:cs="Arial"/>
          <w:color w:val="auto"/>
          <w:sz w:val="22"/>
          <w:szCs w:val="22"/>
        </w:rPr>
        <w:t>Izvješće o provedbi mjera Nacionalne strategije stvaranja poticajnog okruženja za razvoj civilnog društva od 2012-2016. godine (informacije za mjere u kojima je Agencija imenovana kao jedan od nositelja</w:t>
      </w:r>
      <w:r>
        <w:rPr>
          <w:rFonts w:ascii="Arial" w:hAnsi="Arial" w:cs="Arial"/>
          <w:color w:val="auto"/>
          <w:sz w:val="22"/>
          <w:szCs w:val="22"/>
        </w:rPr>
        <w:t>, UZUVRH</w:t>
      </w:r>
      <w:r w:rsidRPr="00E85451">
        <w:rPr>
          <w:rFonts w:ascii="Arial" w:hAnsi="Arial" w:cs="Arial"/>
          <w:color w:val="auto"/>
          <w:sz w:val="22"/>
          <w:szCs w:val="22"/>
        </w:rPr>
        <w:t>)</w:t>
      </w:r>
      <w:r>
        <w:rPr>
          <w:rFonts w:ascii="Arial" w:hAnsi="Arial" w:cs="Arial"/>
          <w:color w:val="auto"/>
          <w:sz w:val="22"/>
          <w:szCs w:val="22"/>
        </w:rPr>
        <w:t>,</w:t>
      </w:r>
      <w:r w:rsidRPr="00E85451">
        <w:rPr>
          <w:rFonts w:ascii="Arial" w:hAnsi="Arial" w:cs="Arial"/>
          <w:color w:val="auto"/>
          <w:sz w:val="22"/>
          <w:szCs w:val="22"/>
        </w:rPr>
        <w:br/>
      </w:r>
      <w:r w:rsidR="00A664C3">
        <w:rPr>
          <w:rFonts w:ascii="Arial" w:hAnsi="Arial" w:cs="Arial"/>
          <w:color w:val="auto"/>
          <w:sz w:val="22"/>
          <w:szCs w:val="22"/>
        </w:rPr>
        <w:t xml:space="preserve"> </w:t>
      </w:r>
      <w:r w:rsidR="001F05DD" w:rsidRPr="00E85451">
        <w:rPr>
          <w:rFonts w:ascii="Arial" w:hAnsi="Arial" w:cs="Arial"/>
          <w:color w:val="auto"/>
          <w:sz w:val="22"/>
          <w:szCs w:val="22"/>
        </w:rPr>
        <w:t>-</w:t>
      </w:r>
      <w:r>
        <w:rPr>
          <w:rFonts w:ascii="Arial" w:hAnsi="Arial" w:cs="Arial"/>
          <w:color w:val="auto"/>
          <w:sz w:val="22"/>
          <w:szCs w:val="22"/>
        </w:rPr>
        <w:t>izvješće o provođenju EU strategije za mlade (MSPM),</w:t>
      </w:r>
    </w:p>
    <w:p w:rsidR="006251B7" w:rsidRDefault="006251B7" w:rsidP="001F05DD">
      <w:pPr>
        <w:pStyle w:val="ListParagraph"/>
        <w:ind w:left="0" w:right="-8"/>
        <w:jc w:val="both"/>
        <w:rPr>
          <w:rFonts w:ascii="Arial" w:hAnsi="Arial" w:cs="Arial"/>
          <w:color w:val="auto"/>
          <w:sz w:val="22"/>
          <w:szCs w:val="22"/>
        </w:rPr>
      </w:pPr>
      <w:r>
        <w:rPr>
          <w:rFonts w:ascii="Arial" w:hAnsi="Arial" w:cs="Arial"/>
          <w:color w:val="auto"/>
          <w:sz w:val="22"/>
          <w:szCs w:val="22"/>
        </w:rPr>
        <w:t xml:space="preserve">- izvješće o provedbi Nacionalnog programa za mlade za 2013. (MSPM, </w:t>
      </w:r>
      <w:r w:rsidR="00C33DD8" w:rsidRPr="00E85451">
        <w:rPr>
          <w:rFonts w:ascii="Arial" w:hAnsi="Arial" w:cs="Arial"/>
          <w:color w:val="auto"/>
          <w:sz w:val="22"/>
          <w:szCs w:val="22"/>
        </w:rPr>
        <w:t>informacije za mjere u kojima je Agencija imenovana kao jedan od nositelja)</w:t>
      </w:r>
      <w:r w:rsidR="00C33DD8">
        <w:rPr>
          <w:rFonts w:ascii="Arial" w:hAnsi="Arial" w:cs="Arial"/>
          <w:color w:val="auto"/>
          <w:sz w:val="22"/>
          <w:szCs w:val="22"/>
        </w:rPr>
        <w:t xml:space="preserve"> i dr.</w:t>
      </w:r>
    </w:p>
    <w:p w:rsidR="00C33DD8" w:rsidRDefault="00C33DD8" w:rsidP="001F05DD">
      <w:pPr>
        <w:pStyle w:val="ListParagraph"/>
        <w:ind w:left="0" w:right="-8"/>
        <w:jc w:val="both"/>
        <w:rPr>
          <w:rFonts w:ascii="Arial" w:hAnsi="Arial" w:cs="Arial"/>
          <w:color w:val="auto"/>
          <w:sz w:val="22"/>
          <w:szCs w:val="22"/>
        </w:rPr>
      </w:pPr>
    </w:p>
    <w:p w:rsidR="00C33DD8" w:rsidRPr="00E85451" w:rsidRDefault="00C33DD8" w:rsidP="00C33DD8">
      <w:pPr>
        <w:ind w:right="-8"/>
        <w:jc w:val="both"/>
        <w:rPr>
          <w:rFonts w:ascii="Arial" w:hAnsi="Arial" w:cs="Arial"/>
          <w:color w:val="auto"/>
          <w:sz w:val="22"/>
          <w:szCs w:val="22"/>
        </w:rPr>
      </w:pPr>
      <w:r>
        <w:rPr>
          <w:rFonts w:ascii="Arial" w:hAnsi="Arial" w:cs="Arial"/>
          <w:color w:val="auto"/>
          <w:sz w:val="22"/>
          <w:szCs w:val="22"/>
        </w:rPr>
        <w:t>V</w:t>
      </w:r>
      <w:r w:rsidRPr="00E85451">
        <w:rPr>
          <w:rFonts w:ascii="Arial" w:hAnsi="Arial" w:cs="Arial"/>
          <w:color w:val="auto"/>
          <w:sz w:val="22"/>
          <w:szCs w:val="22"/>
        </w:rPr>
        <w:t xml:space="preserve">ezano za učitelje koji su koordinatori projekata LLP-a i Erasmus+, Agencija je inicirala </w:t>
      </w:r>
      <w:r w:rsidR="005A3545">
        <w:rPr>
          <w:rFonts w:ascii="Arial" w:hAnsi="Arial" w:cs="Arial"/>
          <w:color w:val="auto"/>
          <w:sz w:val="22"/>
          <w:szCs w:val="22"/>
        </w:rPr>
        <w:t>raspravu</w:t>
      </w:r>
      <w:r w:rsidR="005A3545" w:rsidRPr="00E85451">
        <w:rPr>
          <w:rFonts w:ascii="Arial" w:hAnsi="Arial" w:cs="Arial"/>
          <w:color w:val="auto"/>
          <w:sz w:val="22"/>
          <w:szCs w:val="22"/>
        </w:rPr>
        <w:t xml:space="preserve"> </w:t>
      </w:r>
      <w:r w:rsidRPr="00E85451">
        <w:rPr>
          <w:rFonts w:ascii="Arial" w:hAnsi="Arial" w:cs="Arial"/>
          <w:color w:val="auto"/>
          <w:sz w:val="22"/>
          <w:szCs w:val="22"/>
        </w:rPr>
        <w:t>s Ministarstvom znanosti, obrazovanja i sporta o priznavanju i validiranju njihovog rada na projektima</w:t>
      </w:r>
      <w:r>
        <w:rPr>
          <w:rFonts w:ascii="Arial" w:hAnsi="Arial" w:cs="Arial"/>
          <w:color w:val="auto"/>
          <w:sz w:val="22"/>
          <w:szCs w:val="22"/>
        </w:rPr>
        <w:t xml:space="preserve"> te sustavno prati dokumente u procesu javnog savjetovanja resornih ministarstava te dostavlja sugestije na prijedloge propisa.</w:t>
      </w:r>
    </w:p>
    <w:p w:rsidR="00C33DD8" w:rsidRDefault="00C33DD8" w:rsidP="001F05DD">
      <w:pPr>
        <w:pStyle w:val="ListParagraph"/>
        <w:ind w:left="0" w:right="-8"/>
        <w:jc w:val="both"/>
        <w:rPr>
          <w:rFonts w:ascii="Arial" w:hAnsi="Arial" w:cs="Arial"/>
          <w:color w:val="auto"/>
          <w:sz w:val="22"/>
          <w:szCs w:val="22"/>
        </w:rPr>
      </w:pPr>
    </w:p>
    <w:p w:rsidR="006251B7" w:rsidRDefault="00C33DD8" w:rsidP="001F05DD">
      <w:pPr>
        <w:pStyle w:val="ListParagraph"/>
        <w:ind w:left="0" w:right="-8"/>
        <w:jc w:val="both"/>
        <w:rPr>
          <w:rFonts w:ascii="Arial" w:hAnsi="Arial" w:cs="Arial"/>
          <w:color w:val="auto"/>
          <w:sz w:val="22"/>
          <w:szCs w:val="22"/>
        </w:rPr>
      </w:pPr>
      <w:r>
        <w:rPr>
          <w:rFonts w:ascii="Arial" w:hAnsi="Arial" w:cs="Arial"/>
          <w:color w:val="auto"/>
          <w:sz w:val="22"/>
          <w:szCs w:val="22"/>
        </w:rPr>
        <w:t>Što se tiče obveza izvještavanja koje proizlaze iz pozitivnih propisa RH, Agencije je ispunila sve zadane obveze podnošenjem traženih izvješća u zadanim rokovima, poput</w:t>
      </w:r>
      <w:r w:rsidR="002F336B">
        <w:rPr>
          <w:rFonts w:ascii="Arial" w:hAnsi="Arial" w:cs="Arial"/>
          <w:color w:val="auto"/>
          <w:sz w:val="22"/>
          <w:szCs w:val="22"/>
        </w:rPr>
        <w:t xml:space="preserve"> sljedećih</w:t>
      </w:r>
      <w:r>
        <w:rPr>
          <w:rFonts w:ascii="Arial" w:hAnsi="Arial" w:cs="Arial"/>
          <w:color w:val="auto"/>
          <w:sz w:val="22"/>
          <w:szCs w:val="22"/>
        </w:rPr>
        <w:t>:</w:t>
      </w:r>
    </w:p>
    <w:p w:rsidR="006251B7" w:rsidRDefault="006251B7" w:rsidP="001F05DD">
      <w:pPr>
        <w:pStyle w:val="ListParagraph"/>
        <w:ind w:left="0" w:right="-8"/>
        <w:jc w:val="both"/>
        <w:rPr>
          <w:rFonts w:ascii="Arial" w:hAnsi="Arial" w:cs="Arial"/>
          <w:color w:val="auto"/>
          <w:sz w:val="22"/>
          <w:szCs w:val="22"/>
        </w:rPr>
      </w:pPr>
    </w:p>
    <w:p w:rsidR="001F05DD" w:rsidRPr="00E85451" w:rsidRDefault="00C33DD8" w:rsidP="001F05DD">
      <w:pPr>
        <w:pStyle w:val="ListParagraph"/>
        <w:ind w:left="0" w:right="-8"/>
        <w:jc w:val="both"/>
        <w:rPr>
          <w:rFonts w:ascii="Arial" w:hAnsi="Arial" w:cs="Arial"/>
          <w:color w:val="auto"/>
          <w:sz w:val="22"/>
          <w:szCs w:val="22"/>
        </w:rPr>
      </w:pPr>
      <w:r>
        <w:rPr>
          <w:rFonts w:ascii="Arial" w:hAnsi="Arial" w:cs="Arial"/>
          <w:color w:val="auto"/>
          <w:sz w:val="22"/>
          <w:szCs w:val="22"/>
        </w:rPr>
        <w:t xml:space="preserve">- </w:t>
      </w:r>
      <w:r w:rsidR="001F05DD" w:rsidRPr="00E85451">
        <w:rPr>
          <w:rFonts w:ascii="Arial" w:hAnsi="Arial" w:cs="Arial"/>
          <w:color w:val="auto"/>
          <w:sz w:val="22"/>
          <w:szCs w:val="22"/>
        </w:rPr>
        <w:t xml:space="preserve">izvješće o nepravilnostima za 2013. godinu; </w:t>
      </w:r>
      <w:r w:rsidR="00F2429F" w:rsidRPr="00E85451">
        <w:rPr>
          <w:rFonts w:ascii="Arial" w:hAnsi="Arial" w:cs="Arial"/>
          <w:color w:val="auto"/>
          <w:sz w:val="22"/>
          <w:szCs w:val="22"/>
        </w:rPr>
        <w:t>osnova</w:t>
      </w:r>
      <w:r w:rsidR="001F05DD" w:rsidRPr="00E85451">
        <w:rPr>
          <w:rFonts w:ascii="Arial" w:hAnsi="Arial" w:cs="Arial"/>
          <w:color w:val="auto"/>
          <w:sz w:val="22"/>
          <w:szCs w:val="22"/>
        </w:rPr>
        <w:t>: Naputak o otkrivanju, postupanju i izvješćivanju o nepravilnostima u upravljanju sredstvima proračuna, proračunskih i izvanproračunskih koris</w:t>
      </w:r>
      <w:r w:rsidR="002F336B">
        <w:rPr>
          <w:rFonts w:ascii="Arial" w:hAnsi="Arial" w:cs="Arial"/>
          <w:color w:val="auto"/>
          <w:sz w:val="22"/>
          <w:szCs w:val="22"/>
        </w:rPr>
        <w:t>nika (Narodne novine br. 70/12)</w:t>
      </w:r>
    </w:p>
    <w:p w:rsidR="001F05DD" w:rsidRPr="00E85451" w:rsidRDefault="001F05DD" w:rsidP="001F05DD">
      <w:pPr>
        <w:pStyle w:val="ListParagraph"/>
        <w:ind w:left="0" w:right="-8"/>
        <w:jc w:val="both"/>
        <w:rPr>
          <w:rFonts w:ascii="Arial" w:hAnsi="Arial" w:cs="Arial"/>
          <w:color w:val="auto"/>
          <w:sz w:val="22"/>
          <w:szCs w:val="22"/>
        </w:rPr>
      </w:pPr>
      <w:r w:rsidRPr="00E85451">
        <w:rPr>
          <w:rFonts w:ascii="Arial" w:hAnsi="Arial" w:cs="Arial"/>
          <w:color w:val="auto"/>
          <w:sz w:val="22"/>
          <w:szCs w:val="22"/>
        </w:rPr>
        <w:lastRenderedPageBreak/>
        <w:t>-</w:t>
      </w:r>
      <w:r w:rsidR="00C33DD8">
        <w:rPr>
          <w:rFonts w:ascii="Arial" w:hAnsi="Arial" w:cs="Arial"/>
          <w:color w:val="auto"/>
          <w:sz w:val="22"/>
          <w:szCs w:val="22"/>
        </w:rPr>
        <w:t xml:space="preserve"> </w:t>
      </w:r>
      <w:r w:rsidRPr="00E85451">
        <w:rPr>
          <w:rFonts w:ascii="Arial" w:hAnsi="Arial" w:cs="Arial"/>
          <w:color w:val="auto"/>
          <w:sz w:val="22"/>
          <w:szCs w:val="22"/>
        </w:rPr>
        <w:t xml:space="preserve">dostavljanje izvješća o javnoj nabavi za 2013. godinu; </w:t>
      </w:r>
      <w:r w:rsidR="00F2429F" w:rsidRPr="00E85451">
        <w:rPr>
          <w:rFonts w:ascii="Arial" w:hAnsi="Arial" w:cs="Arial"/>
          <w:color w:val="auto"/>
          <w:sz w:val="22"/>
          <w:szCs w:val="22"/>
        </w:rPr>
        <w:t>osnova</w:t>
      </w:r>
      <w:r w:rsidRPr="00E85451">
        <w:rPr>
          <w:rFonts w:ascii="Arial" w:hAnsi="Arial" w:cs="Arial"/>
          <w:color w:val="auto"/>
          <w:sz w:val="22"/>
          <w:szCs w:val="22"/>
        </w:rPr>
        <w:t>: Zakon o javnoj nabavi (Narodne novine br. 90/11, 83/13, 143/13 i 13/14) te Uputa Ministarstva gospodarstva za obveznike primjene Zakona o javnoj nabavi o sadržaju i načinu dostavljanja izvješća o javnoj nabavi za 2013. godinu te o javnoj nabavi za potrebe obra</w:t>
      </w:r>
      <w:r w:rsidR="002F336B">
        <w:rPr>
          <w:rFonts w:ascii="Arial" w:hAnsi="Arial" w:cs="Arial"/>
          <w:color w:val="auto"/>
          <w:sz w:val="22"/>
          <w:szCs w:val="22"/>
        </w:rPr>
        <w:t>ne i sigurnosti za 2013. godinu</w:t>
      </w:r>
    </w:p>
    <w:p w:rsidR="001F05DD" w:rsidRPr="00E85451" w:rsidRDefault="001F05DD" w:rsidP="001F05DD">
      <w:pPr>
        <w:pStyle w:val="ListParagraph"/>
        <w:ind w:left="0" w:right="-8"/>
        <w:jc w:val="both"/>
        <w:rPr>
          <w:rFonts w:ascii="Arial" w:hAnsi="Arial" w:cs="Arial"/>
          <w:color w:val="auto"/>
          <w:sz w:val="22"/>
          <w:szCs w:val="22"/>
        </w:rPr>
      </w:pPr>
      <w:r w:rsidRPr="00E85451">
        <w:rPr>
          <w:rFonts w:ascii="Arial" w:hAnsi="Arial" w:cs="Arial"/>
          <w:color w:val="auto"/>
          <w:sz w:val="22"/>
          <w:szCs w:val="22"/>
        </w:rPr>
        <w:t>-</w:t>
      </w:r>
      <w:r w:rsidR="00C33DD8">
        <w:rPr>
          <w:rFonts w:ascii="Arial" w:hAnsi="Arial" w:cs="Arial"/>
          <w:color w:val="auto"/>
          <w:sz w:val="22"/>
          <w:szCs w:val="22"/>
        </w:rPr>
        <w:t xml:space="preserve"> </w:t>
      </w:r>
      <w:r w:rsidRPr="00E85451">
        <w:rPr>
          <w:rFonts w:ascii="Arial" w:hAnsi="Arial" w:cs="Arial"/>
          <w:color w:val="auto"/>
          <w:sz w:val="22"/>
          <w:szCs w:val="22"/>
        </w:rPr>
        <w:t xml:space="preserve">izvješće o provedbi Zakona o pravu na pristup informacijama za 2013. godinu; </w:t>
      </w:r>
      <w:r w:rsidR="00F2429F" w:rsidRPr="00E85451">
        <w:rPr>
          <w:rFonts w:ascii="Arial" w:hAnsi="Arial" w:cs="Arial"/>
          <w:color w:val="auto"/>
          <w:sz w:val="22"/>
          <w:szCs w:val="22"/>
        </w:rPr>
        <w:t>osnova</w:t>
      </w:r>
      <w:r w:rsidRPr="00E85451">
        <w:rPr>
          <w:rFonts w:ascii="Arial" w:hAnsi="Arial" w:cs="Arial"/>
          <w:color w:val="auto"/>
          <w:sz w:val="22"/>
          <w:szCs w:val="22"/>
        </w:rPr>
        <w:t>: Zakon o pravu na pristup informaci</w:t>
      </w:r>
      <w:r w:rsidR="002F336B">
        <w:rPr>
          <w:rFonts w:ascii="Arial" w:hAnsi="Arial" w:cs="Arial"/>
          <w:color w:val="auto"/>
          <w:sz w:val="22"/>
          <w:szCs w:val="22"/>
        </w:rPr>
        <w:t>jama (Narodne novine br. 25/13)</w:t>
      </w:r>
    </w:p>
    <w:p w:rsidR="002F336B" w:rsidRDefault="001F05DD" w:rsidP="002F336B">
      <w:pPr>
        <w:ind w:right="-8"/>
        <w:jc w:val="both"/>
        <w:rPr>
          <w:rFonts w:ascii="Arial" w:hAnsi="Arial" w:cs="Arial"/>
          <w:color w:val="auto"/>
          <w:sz w:val="22"/>
          <w:szCs w:val="22"/>
        </w:rPr>
      </w:pPr>
      <w:r w:rsidRPr="00E85451">
        <w:rPr>
          <w:rFonts w:ascii="Arial" w:hAnsi="Arial" w:cs="Arial"/>
          <w:color w:val="auto"/>
          <w:sz w:val="22"/>
          <w:szCs w:val="22"/>
        </w:rPr>
        <w:t>-</w:t>
      </w:r>
      <w:r w:rsidR="002F336B" w:rsidRPr="002F336B">
        <w:rPr>
          <w:rFonts w:ascii="Arial" w:hAnsi="Arial" w:cs="Arial"/>
          <w:color w:val="auto"/>
          <w:sz w:val="22"/>
          <w:szCs w:val="22"/>
        </w:rPr>
        <w:t xml:space="preserve"> Godišnji izvještaj proračuna, proračunskih i izvanpro</w:t>
      </w:r>
      <w:r w:rsidR="000475FE">
        <w:rPr>
          <w:rFonts w:ascii="Arial" w:hAnsi="Arial" w:cs="Arial"/>
          <w:color w:val="auto"/>
          <w:sz w:val="22"/>
          <w:szCs w:val="22"/>
        </w:rPr>
        <w:t xml:space="preserve">računskih korisnika za 2013 g. </w:t>
      </w:r>
      <w:r w:rsidR="002F336B" w:rsidRPr="002F336B">
        <w:rPr>
          <w:rFonts w:ascii="Arial" w:hAnsi="Arial" w:cs="Arial"/>
          <w:color w:val="auto"/>
          <w:sz w:val="22"/>
          <w:szCs w:val="22"/>
        </w:rPr>
        <w:t>(Pravilnik o financijskom izvještavanju u proračunskom računovodstvu NN 32/2011 i 3/15) n</w:t>
      </w:r>
      <w:r w:rsidR="002F336B">
        <w:rPr>
          <w:rFonts w:ascii="Arial" w:hAnsi="Arial" w:cs="Arial"/>
          <w:color w:val="auto"/>
          <w:sz w:val="22"/>
          <w:szCs w:val="22"/>
        </w:rPr>
        <w:t>a FINA, MZOS i Državna revizija</w:t>
      </w:r>
      <w:r w:rsidR="002F336B" w:rsidRPr="002F336B">
        <w:rPr>
          <w:rFonts w:ascii="Arial" w:hAnsi="Arial" w:cs="Arial"/>
          <w:color w:val="auto"/>
          <w:sz w:val="22"/>
          <w:szCs w:val="22"/>
        </w:rPr>
        <w:t xml:space="preserve"> </w:t>
      </w:r>
      <w:r w:rsidR="002F336B">
        <w:rPr>
          <w:rFonts w:ascii="Arial" w:hAnsi="Arial" w:cs="Arial"/>
          <w:color w:val="auto"/>
          <w:sz w:val="22"/>
          <w:szCs w:val="22"/>
        </w:rPr>
        <w:t>)</w:t>
      </w:r>
    </w:p>
    <w:p w:rsidR="002F336B" w:rsidRDefault="002F336B" w:rsidP="002F336B">
      <w:pPr>
        <w:ind w:right="-8"/>
        <w:jc w:val="both"/>
        <w:rPr>
          <w:rFonts w:ascii="Arial" w:hAnsi="Arial" w:cs="Arial"/>
          <w:color w:val="auto"/>
          <w:sz w:val="22"/>
          <w:szCs w:val="22"/>
        </w:rPr>
      </w:pPr>
      <w:r>
        <w:rPr>
          <w:rFonts w:ascii="Arial" w:hAnsi="Arial" w:cs="Arial"/>
          <w:color w:val="auto"/>
          <w:sz w:val="22"/>
          <w:szCs w:val="22"/>
        </w:rPr>
        <w:t xml:space="preserve">- </w:t>
      </w:r>
      <w:r w:rsidRPr="002F336B">
        <w:rPr>
          <w:rFonts w:ascii="Arial" w:hAnsi="Arial" w:cs="Arial"/>
          <w:color w:val="auto"/>
          <w:sz w:val="22"/>
          <w:szCs w:val="22"/>
        </w:rPr>
        <w:t xml:space="preserve">Izjava o fiskalnoj odgovornosti za 2013. g (Zakon o fiskalnoj odgovornosti (NN </w:t>
      </w:r>
      <w:r w:rsidRPr="002F336B">
        <w:rPr>
          <w:rFonts w:ascii="Arial" w:hAnsi="Arial" w:cs="Arial"/>
          <w:color w:val="auto"/>
          <w:sz w:val="22"/>
          <w:szCs w:val="22"/>
        </w:rPr>
        <w:tab/>
        <w:t>32/2011 i 3/15) na MZOS</w:t>
      </w:r>
    </w:p>
    <w:p w:rsidR="002F336B" w:rsidRDefault="002F336B" w:rsidP="002F336B">
      <w:pPr>
        <w:ind w:right="-8"/>
        <w:jc w:val="both"/>
        <w:rPr>
          <w:rFonts w:ascii="Arial" w:hAnsi="Arial" w:cs="Arial"/>
          <w:color w:val="auto"/>
          <w:sz w:val="22"/>
          <w:szCs w:val="22"/>
        </w:rPr>
      </w:pPr>
      <w:r>
        <w:rPr>
          <w:rFonts w:ascii="Arial" w:hAnsi="Arial" w:cs="Arial"/>
          <w:color w:val="auto"/>
          <w:sz w:val="22"/>
          <w:szCs w:val="22"/>
        </w:rPr>
        <w:t xml:space="preserve">- </w:t>
      </w:r>
      <w:r w:rsidRPr="002F336B">
        <w:rPr>
          <w:rFonts w:ascii="Arial" w:hAnsi="Arial" w:cs="Arial"/>
          <w:color w:val="auto"/>
          <w:sz w:val="22"/>
          <w:szCs w:val="22"/>
        </w:rPr>
        <w:t>Izvještaj o obvezama (Pravilnik o financijskom izvještavanju u proračunskom računovodstvu NN 32/2011 i 3/15) na MZOS</w:t>
      </w:r>
    </w:p>
    <w:p w:rsidR="002F336B" w:rsidRDefault="002F336B" w:rsidP="002F336B">
      <w:pPr>
        <w:ind w:right="-8"/>
        <w:jc w:val="both"/>
        <w:rPr>
          <w:rFonts w:ascii="Arial" w:hAnsi="Arial" w:cs="Arial"/>
          <w:color w:val="auto"/>
          <w:sz w:val="22"/>
          <w:szCs w:val="22"/>
        </w:rPr>
      </w:pPr>
      <w:r>
        <w:rPr>
          <w:rFonts w:ascii="Arial" w:hAnsi="Arial" w:cs="Arial"/>
          <w:color w:val="auto"/>
          <w:sz w:val="22"/>
          <w:szCs w:val="22"/>
        </w:rPr>
        <w:t xml:space="preserve">- </w:t>
      </w:r>
      <w:r w:rsidRPr="002F336B">
        <w:rPr>
          <w:rFonts w:ascii="Arial" w:hAnsi="Arial" w:cs="Arial"/>
          <w:color w:val="auto"/>
          <w:sz w:val="22"/>
          <w:szCs w:val="22"/>
        </w:rPr>
        <w:t>Izvještaj o broju zaposlenih</w:t>
      </w:r>
      <w:r>
        <w:rPr>
          <w:rFonts w:ascii="Arial" w:hAnsi="Arial" w:cs="Arial"/>
          <w:color w:val="auto"/>
          <w:sz w:val="22"/>
          <w:szCs w:val="22"/>
        </w:rPr>
        <w:t>,</w:t>
      </w:r>
      <w:r w:rsidRPr="002F336B">
        <w:rPr>
          <w:rFonts w:ascii="Arial" w:hAnsi="Arial" w:cs="Arial"/>
          <w:color w:val="auto"/>
          <w:sz w:val="22"/>
          <w:szCs w:val="22"/>
        </w:rPr>
        <w:t xml:space="preserve"> MZOS na upit</w:t>
      </w:r>
    </w:p>
    <w:p w:rsidR="002F336B" w:rsidRDefault="002F336B" w:rsidP="002F336B">
      <w:pPr>
        <w:ind w:right="-8"/>
        <w:jc w:val="both"/>
        <w:rPr>
          <w:rStyle w:val="st"/>
          <w:rFonts w:ascii="Arial" w:hAnsi="Arial" w:cs="Arial"/>
          <w:color w:val="auto"/>
          <w:sz w:val="22"/>
          <w:szCs w:val="22"/>
        </w:rPr>
      </w:pPr>
      <w:r>
        <w:rPr>
          <w:rFonts w:ascii="Arial" w:hAnsi="Arial" w:cs="Arial"/>
          <w:color w:val="auto"/>
          <w:sz w:val="22"/>
          <w:szCs w:val="22"/>
        </w:rPr>
        <w:t xml:space="preserve">- </w:t>
      </w:r>
      <w:r w:rsidRPr="002F336B">
        <w:rPr>
          <w:rStyle w:val="st"/>
          <w:rFonts w:ascii="Arial" w:hAnsi="Arial" w:cs="Arial"/>
          <w:color w:val="auto"/>
          <w:sz w:val="22"/>
          <w:szCs w:val="22"/>
        </w:rPr>
        <w:t>Godišnji izvještaj o zaposlenima i plaći RAD</w:t>
      </w:r>
      <w:r>
        <w:rPr>
          <w:rStyle w:val="st"/>
          <w:rFonts w:ascii="Arial" w:hAnsi="Arial" w:cs="Arial"/>
          <w:color w:val="auto"/>
          <w:sz w:val="22"/>
          <w:szCs w:val="22"/>
        </w:rPr>
        <w:t xml:space="preserve"> 1G na upit Državnog zavoda za </w:t>
      </w:r>
      <w:r w:rsidRPr="002F336B">
        <w:rPr>
          <w:rStyle w:val="st"/>
          <w:rFonts w:ascii="Arial" w:hAnsi="Arial" w:cs="Arial"/>
          <w:color w:val="auto"/>
          <w:sz w:val="22"/>
          <w:szCs w:val="22"/>
        </w:rPr>
        <w:t>statistiku</w:t>
      </w:r>
    </w:p>
    <w:p w:rsidR="002F336B" w:rsidRDefault="000475FE" w:rsidP="002F336B">
      <w:pPr>
        <w:ind w:right="-8"/>
        <w:jc w:val="both"/>
        <w:rPr>
          <w:rStyle w:val="st"/>
          <w:rFonts w:ascii="Arial" w:hAnsi="Arial" w:cs="Arial"/>
          <w:color w:val="auto"/>
          <w:sz w:val="22"/>
          <w:szCs w:val="22"/>
        </w:rPr>
      </w:pPr>
      <w:r>
        <w:rPr>
          <w:rStyle w:val="st"/>
          <w:rFonts w:ascii="Arial" w:hAnsi="Arial" w:cs="Arial"/>
          <w:color w:val="auto"/>
          <w:sz w:val="22"/>
          <w:szCs w:val="22"/>
        </w:rPr>
        <w:t>- i</w:t>
      </w:r>
      <w:r w:rsidR="002F336B" w:rsidRPr="002F336B">
        <w:rPr>
          <w:rStyle w:val="st"/>
          <w:rFonts w:ascii="Arial" w:hAnsi="Arial" w:cs="Arial"/>
          <w:color w:val="auto"/>
          <w:sz w:val="22"/>
          <w:szCs w:val="22"/>
        </w:rPr>
        <w:t>zvješće o provedbi Direktive 2012/27/EU Europskog parlamenta i Vijeća - provedba mjera energetske učinkovitosti</w:t>
      </w:r>
      <w:r w:rsidR="002F336B">
        <w:rPr>
          <w:rStyle w:val="st"/>
          <w:rFonts w:ascii="Arial" w:hAnsi="Arial" w:cs="Arial"/>
          <w:color w:val="auto"/>
          <w:sz w:val="22"/>
          <w:szCs w:val="22"/>
        </w:rPr>
        <w:t xml:space="preserve">, </w:t>
      </w:r>
      <w:r w:rsidR="002F336B" w:rsidRPr="002F336B">
        <w:rPr>
          <w:rStyle w:val="st"/>
          <w:rFonts w:ascii="Arial" w:hAnsi="Arial" w:cs="Arial"/>
          <w:color w:val="auto"/>
          <w:sz w:val="22"/>
          <w:szCs w:val="22"/>
        </w:rPr>
        <w:t>Ministarstvo graditeljstva i prostornog uređenja</w:t>
      </w:r>
    </w:p>
    <w:p w:rsidR="002F336B" w:rsidRDefault="002F336B" w:rsidP="002F336B">
      <w:pPr>
        <w:ind w:right="-8"/>
        <w:jc w:val="both"/>
        <w:rPr>
          <w:rStyle w:val="st"/>
          <w:rFonts w:ascii="Arial" w:hAnsi="Arial" w:cs="Arial"/>
          <w:color w:val="auto"/>
          <w:sz w:val="22"/>
          <w:szCs w:val="22"/>
        </w:rPr>
      </w:pPr>
      <w:r>
        <w:rPr>
          <w:rStyle w:val="st"/>
          <w:rFonts w:ascii="Arial" w:hAnsi="Arial" w:cs="Arial"/>
          <w:color w:val="auto"/>
          <w:sz w:val="22"/>
          <w:szCs w:val="22"/>
        </w:rPr>
        <w:t xml:space="preserve">- </w:t>
      </w:r>
      <w:r w:rsidRPr="002F336B">
        <w:rPr>
          <w:rStyle w:val="st"/>
          <w:rFonts w:ascii="Arial" w:hAnsi="Arial" w:cs="Arial"/>
          <w:color w:val="auto"/>
          <w:sz w:val="22"/>
          <w:szCs w:val="22"/>
        </w:rPr>
        <w:t xml:space="preserve">dubinska analiza rashoda Državnog proračuna – dostava podataka </w:t>
      </w:r>
      <w:r>
        <w:rPr>
          <w:rStyle w:val="st"/>
          <w:rFonts w:ascii="Arial" w:hAnsi="Arial" w:cs="Arial"/>
          <w:color w:val="auto"/>
          <w:sz w:val="22"/>
          <w:szCs w:val="22"/>
        </w:rPr>
        <w:t>MZOS</w:t>
      </w:r>
    </w:p>
    <w:p w:rsidR="002F336B" w:rsidRPr="002F336B" w:rsidRDefault="002F336B" w:rsidP="002F336B">
      <w:pPr>
        <w:ind w:right="-8"/>
        <w:jc w:val="both"/>
        <w:rPr>
          <w:rStyle w:val="st"/>
          <w:rFonts w:ascii="Arial" w:hAnsi="Arial" w:cs="Arial"/>
          <w:color w:val="auto"/>
          <w:sz w:val="22"/>
          <w:szCs w:val="22"/>
        </w:rPr>
      </w:pPr>
      <w:r>
        <w:rPr>
          <w:rStyle w:val="st"/>
          <w:rFonts w:ascii="Arial" w:hAnsi="Arial" w:cs="Arial"/>
          <w:color w:val="auto"/>
          <w:sz w:val="22"/>
          <w:szCs w:val="22"/>
        </w:rPr>
        <w:t>- i brojni drugi.</w:t>
      </w:r>
    </w:p>
    <w:p w:rsidR="002F336B" w:rsidRPr="002F336B" w:rsidRDefault="002F336B" w:rsidP="002F336B">
      <w:pPr>
        <w:ind w:right="-8"/>
        <w:jc w:val="both"/>
        <w:rPr>
          <w:rStyle w:val="st"/>
          <w:rFonts w:ascii="Arial" w:hAnsi="Arial" w:cs="Arial"/>
          <w:color w:val="auto"/>
          <w:sz w:val="22"/>
          <w:szCs w:val="22"/>
        </w:rPr>
      </w:pPr>
    </w:p>
    <w:p w:rsidR="00702C04" w:rsidRDefault="00702C04" w:rsidP="002F336B">
      <w:pPr>
        <w:rPr>
          <w:rStyle w:val="st"/>
          <w:rFonts w:ascii="Arial" w:hAnsi="Arial" w:cs="Arial"/>
          <w:color w:val="auto"/>
          <w:sz w:val="22"/>
          <w:szCs w:val="22"/>
        </w:rPr>
      </w:pPr>
      <w:r>
        <w:rPr>
          <w:rStyle w:val="st"/>
          <w:rFonts w:ascii="Arial" w:hAnsi="Arial" w:cs="Arial"/>
          <w:color w:val="auto"/>
          <w:sz w:val="22"/>
          <w:szCs w:val="22"/>
        </w:rPr>
        <w:br w:type="page"/>
      </w:r>
    </w:p>
    <w:p w:rsidR="00702C04" w:rsidRPr="00E85451" w:rsidRDefault="00702C04" w:rsidP="00702C04">
      <w:pPr>
        <w:pStyle w:val="ListParagraph"/>
        <w:ind w:left="0" w:right="-8"/>
        <w:jc w:val="both"/>
        <w:rPr>
          <w:rStyle w:val="st"/>
          <w:rFonts w:ascii="Arial" w:hAnsi="Arial" w:cs="Arial"/>
          <w:color w:val="auto"/>
          <w:sz w:val="22"/>
          <w:szCs w:val="22"/>
        </w:rPr>
      </w:pPr>
    </w:p>
    <w:p w:rsidR="000F3799" w:rsidRPr="000F3158" w:rsidRDefault="00B97010" w:rsidP="00601741">
      <w:pPr>
        <w:pStyle w:val="Heading1"/>
        <w:numPr>
          <w:ilvl w:val="0"/>
          <w:numId w:val="27"/>
        </w:numPr>
        <w:rPr>
          <w:rFonts w:ascii="Arial" w:hAnsi="Arial" w:cs="Arial"/>
          <w:color w:val="auto"/>
          <w:sz w:val="28"/>
          <w:szCs w:val="28"/>
        </w:rPr>
      </w:pPr>
      <w:bookmarkStart w:id="26" w:name="h.lnxbz9" w:colFirst="0" w:colLast="0"/>
      <w:bookmarkStart w:id="27" w:name="h.35nkun2" w:colFirst="0" w:colLast="0"/>
      <w:bookmarkStart w:id="28" w:name="h.44sinio" w:colFirst="0" w:colLast="0"/>
      <w:bookmarkStart w:id="29" w:name="_Toc419192162"/>
      <w:bookmarkEnd w:id="26"/>
      <w:bookmarkEnd w:id="27"/>
      <w:bookmarkEnd w:id="28"/>
      <w:r w:rsidRPr="000F3158">
        <w:rPr>
          <w:rFonts w:ascii="Arial" w:hAnsi="Arial" w:cs="Arial"/>
          <w:color w:val="auto"/>
          <w:sz w:val="28"/>
          <w:szCs w:val="28"/>
        </w:rPr>
        <w:t>Proširenje djelatnosti i razvojne aktivnosti</w:t>
      </w:r>
      <w:bookmarkEnd w:id="29"/>
      <w:r w:rsidRPr="000F3158">
        <w:rPr>
          <w:rFonts w:ascii="Arial" w:hAnsi="Arial" w:cs="Arial"/>
          <w:color w:val="auto"/>
          <w:sz w:val="28"/>
          <w:szCs w:val="28"/>
        </w:rPr>
        <w:t xml:space="preserve"> </w:t>
      </w:r>
    </w:p>
    <w:p w:rsidR="00B97010" w:rsidRPr="00E85451" w:rsidRDefault="00B97010" w:rsidP="00B97010">
      <w:pPr>
        <w:rPr>
          <w:rFonts w:ascii="Arial" w:hAnsi="Arial" w:cs="Arial"/>
          <w:color w:val="auto"/>
          <w:sz w:val="22"/>
          <w:szCs w:val="22"/>
        </w:rPr>
      </w:pPr>
    </w:p>
    <w:p w:rsidR="00BE542C" w:rsidRPr="000F3158" w:rsidRDefault="00BE542C" w:rsidP="006918FE">
      <w:pPr>
        <w:ind w:right="-8"/>
        <w:jc w:val="both"/>
        <w:rPr>
          <w:rFonts w:ascii="Arial" w:hAnsi="Arial" w:cs="Arial"/>
          <w:b/>
          <w:color w:val="auto"/>
          <w:szCs w:val="24"/>
        </w:rPr>
      </w:pPr>
      <w:r w:rsidRPr="000F3158">
        <w:rPr>
          <w:rFonts w:ascii="Arial" w:hAnsi="Arial" w:cs="Arial"/>
          <w:b/>
          <w:color w:val="auto"/>
          <w:szCs w:val="24"/>
        </w:rPr>
        <w:t>Europski socijalni fond</w:t>
      </w:r>
    </w:p>
    <w:p w:rsidR="00B27540" w:rsidRPr="00B27540" w:rsidRDefault="00B27540" w:rsidP="00B27540">
      <w:pPr>
        <w:widowControl/>
        <w:rPr>
          <w:rFonts w:ascii="Arial" w:hAnsi="Arial" w:cs="Arial"/>
          <w:color w:val="404040"/>
          <w:sz w:val="22"/>
          <w:szCs w:val="22"/>
          <w:lang w:eastAsia="en-US"/>
        </w:rPr>
      </w:pPr>
    </w:p>
    <w:p w:rsidR="00B27540" w:rsidRPr="00DF03F0" w:rsidRDefault="00B27540" w:rsidP="00B27540">
      <w:pPr>
        <w:widowControl/>
        <w:jc w:val="both"/>
        <w:rPr>
          <w:rFonts w:ascii="Arial" w:hAnsi="Arial" w:cs="Arial"/>
          <w:color w:val="auto"/>
          <w:sz w:val="22"/>
          <w:szCs w:val="22"/>
        </w:rPr>
      </w:pPr>
      <w:r w:rsidRPr="00DF03F0">
        <w:rPr>
          <w:rFonts w:ascii="Arial" w:hAnsi="Arial" w:cs="Arial"/>
          <w:color w:val="auto"/>
          <w:sz w:val="22"/>
          <w:szCs w:val="22"/>
        </w:rPr>
        <w:t xml:space="preserve">U skladu s vizijom i misijom, Agencija je već iskazala svoj interes za provedbu projekata u okviru natječaja koji će biti dostupni kroz Europski socijalni fond (ESF).  </w:t>
      </w:r>
    </w:p>
    <w:p w:rsidR="00B27540" w:rsidRPr="00DF03F0" w:rsidRDefault="00B27540" w:rsidP="00B27540">
      <w:pPr>
        <w:widowControl/>
        <w:jc w:val="both"/>
        <w:rPr>
          <w:rFonts w:ascii="Arial" w:hAnsi="Arial" w:cs="Arial"/>
          <w:color w:val="auto"/>
          <w:sz w:val="22"/>
          <w:szCs w:val="22"/>
        </w:rPr>
      </w:pPr>
    </w:p>
    <w:p w:rsidR="00B27540" w:rsidRPr="00DF03F0" w:rsidRDefault="00B27540" w:rsidP="00B27540">
      <w:pPr>
        <w:widowControl/>
        <w:jc w:val="both"/>
        <w:rPr>
          <w:rFonts w:ascii="Arial" w:hAnsi="Arial" w:cs="Arial"/>
          <w:color w:val="auto"/>
          <w:sz w:val="22"/>
          <w:szCs w:val="22"/>
        </w:rPr>
      </w:pPr>
      <w:r w:rsidRPr="00DF03F0">
        <w:rPr>
          <w:rFonts w:ascii="Arial" w:hAnsi="Arial" w:cs="Arial"/>
          <w:color w:val="auto"/>
          <w:sz w:val="22"/>
          <w:szCs w:val="22"/>
        </w:rPr>
        <w:t xml:space="preserve">Iz tog razloga, Agencija je od 2012.g. aktivno uključena u izradu operativnog programa za ESF 2014. - 2020.g. s prijedlogom mjera i aktivnosti koje je potrebno uključiti, a kako bi se potrebe građana RH mogle financirati upravo kroz ovaj izvor. </w:t>
      </w:r>
    </w:p>
    <w:p w:rsidR="00B27540" w:rsidRPr="00DF03F0" w:rsidRDefault="00B27540" w:rsidP="00B27540">
      <w:pPr>
        <w:widowControl/>
        <w:jc w:val="both"/>
        <w:rPr>
          <w:rFonts w:ascii="Arial" w:hAnsi="Arial" w:cs="Arial"/>
          <w:color w:val="auto"/>
          <w:sz w:val="22"/>
          <w:szCs w:val="22"/>
        </w:rPr>
      </w:pPr>
      <w:r w:rsidRPr="00DF03F0">
        <w:rPr>
          <w:rFonts w:ascii="Arial" w:hAnsi="Arial" w:cs="Arial"/>
          <w:color w:val="auto"/>
          <w:sz w:val="22"/>
          <w:szCs w:val="22"/>
        </w:rPr>
        <w:t xml:space="preserve">S obzirom na nacionalnu dinamiku izrade i usvajanja operativnih programa u suradnji s Komisijom (operativni programi usvojeni su tek krajem 2014. godine), tijekom 2014. </w:t>
      </w:r>
      <w:r w:rsidR="005A3545" w:rsidRPr="00DF03F0">
        <w:rPr>
          <w:rFonts w:ascii="Arial" w:hAnsi="Arial" w:cs="Arial"/>
          <w:color w:val="auto"/>
          <w:sz w:val="22"/>
          <w:szCs w:val="22"/>
        </w:rPr>
        <w:t xml:space="preserve">nije </w:t>
      </w:r>
      <w:r w:rsidRPr="00DF03F0">
        <w:rPr>
          <w:rFonts w:ascii="Arial" w:hAnsi="Arial" w:cs="Arial"/>
          <w:color w:val="auto"/>
          <w:sz w:val="22"/>
          <w:szCs w:val="22"/>
        </w:rPr>
        <w:t>bil</w:t>
      </w:r>
      <w:r w:rsidR="005A3545" w:rsidRPr="00DF03F0">
        <w:rPr>
          <w:rFonts w:ascii="Arial" w:hAnsi="Arial" w:cs="Arial"/>
          <w:color w:val="auto"/>
          <w:sz w:val="22"/>
          <w:szCs w:val="22"/>
        </w:rPr>
        <w:t>o</w:t>
      </w:r>
      <w:r w:rsidRPr="00DF03F0">
        <w:rPr>
          <w:rFonts w:ascii="Arial" w:hAnsi="Arial" w:cs="Arial"/>
          <w:color w:val="auto"/>
          <w:sz w:val="22"/>
          <w:szCs w:val="22"/>
        </w:rPr>
        <w:t xml:space="preserve"> moguće </w:t>
      </w:r>
      <w:r w:rsidR="005A3545" w:rsidRPr="00DF03F0">
        <w:rPr>
          <w:rFonts w:ascii="Arial" w:hAnsi="Arial" w:cs="Arial"/>
          <w:color w:val="auto"/>
          <w:sz w:val="22"/>
          <w:szCs w:val="22"/>
        </w:rPr>
        <w:t xml:space="preserve">provesti </w:t>
      </w:r>
      <w:r w:rsidRPr="00DF03F0">
        <w:rPr>
          <w:rFonts w:ascii="Arial" w:hAnsi="Arial" w:cs="Arial"/>
          <w:color w:val="auto"/>
          <w:sz w:val="22"/>
          <w:szCs w:val="22"/>
        </w:rPr>
        <w:t>planirane aktivnosti pripreme za buduće sudjelovanje u provedbi OP-a ESF</w:t>
      </w:r>
      <w:r w:rsidR="005A3545" w:rsidRPr="00DF03F0">
        <w:rPr>
          <w:rFonts w:ascii="Arial" w:hAnsi="Arial" w:cs="Arial"/>
          <w:color w:val="auto"/>
          <w:sz w:val="22"/>
          <w:szCs w:val="22"/>
        </w:rPr>
        <w:t>,</w:t>
      </w:r>
      <w:r w:rsidRPr="00DF03F0">
        <w:rPr>
          <w:rFonts w:ascii="Arial" w:hAnsi="Arial" w:cs="Arial"/>
          <w:color w:val="auto"/>
          <w:sz w:val="22"/>
          <w:szCs w:val="22"/>
        </w:rPr>
        <w:t xml:space="preserve"> osim u dijelu sudjelovanja u izradi operativnog programa.</w:t>
      </w:r>
    </w:p>
    <w:p w:rsidR="00B27540" w:rsidRPr="00DF03F0" w:rsidRDefault="00B27540" w:rsidP="00B27540">
      <w:pPr>
        <w:widowControl/>
        <w:jc w:val="both"/>
        <w:rPr>
          <w:rFonts w:ascii="Arial" w:hAnsi="Arial" w:cs="Arial"/>
          <w:color w:val="auto"/>
          <w:sz w:val="22"/>
          <w:szCs w:val="22"/>
        </w:rPr>
      </w:pPr>
      <w:r w:rsidRPr="00DF03F0">
        <w:rPr>
          <w:rFonts w:ascii="Arial" w:hAnsi="Arial" w:cs="Arial"/>
          <w:color w:val="auto"/>
          <w:sz w:val="22"/>
          <w:szCs w:val="22"/>
        </w:rPr>
        <w:t>Kako je trenutno u tijeku izrada popratnih programskih dokumenata i terminskih planova za raspis natječaja iz sredstava strukturnih fondova, realna pretpostavka je da će se Agencija tek od 2016. godine moći aktivnije uključiti u proces ponajprije u suradnji s Upravom za visoko obrazovanje u dijelu internacionalizacije visokog obrazovanja.</w:t>
      </w:r>
    </w:p>
    <w:p w:rsidR="00B27540" w:rsidRPr="00DF03F0" w:rsidRDefault="00B27540" w:rsidP="00B27540">
      <w:pPr>
        <w:widowControl/>
        <w:jc w:val="both"/>
        <w:rPr>
          <w:rFonts w:ascii="Arial" w:hAnsi="Arial" w:cs="Arial"/>
          <w:color w:val="auto"/>
          <w:sz w:val="22"/>
          <w:szCs w:val="22"/>
        </w:rPr>
      </w:pPr>
      <w:r w:rsidRPr="00DF03F0">
        <w:rPr>
          <w:rFonts w:ascii="Arial" w:hAnsi="Arial" w:cs="Arial"/>
          <w:color w:val="auto"/>
          <w:sz w:val="22"/>
          <w:szCs w:val="22"/>
        </w:rPr>
        <w:t xml:space="preserve">Također, tek nakon usvajanja Plana razvoja strukovnog obrazovanja i osposobljavanja će </w:t>
      </w:r>
      <w:r w:rsidR="005A3545" w:rsidRPr="00DF03F0">
        <w:rPr>
          <w:rFonts w:ascii="Arial" w:hAnsi="Arial" w:cs="Arial"/>
          <w:color w:val="auto"/>
          <w:sz w:val="22"/>
          <w:szCs w:val="22"/>
        </w:rPr>
        <w:t xml:space="preserve">biti </w:t>
      </w:r>
      <w:r w:rsidRPr="00DF03F0">
        <w:rPr>
          <w:rFonts w:ascii="Arial" w:hAnsi="Arial" w:cs="Arial"/>
          <w:color w:val="auto"/>
          <w:sz w:val="22"/>
          <w:szCs w:val="22"/>
        </w:rPr>
        <w:t>moguće utvrditi mogućnosti za sudjelovanje Agencije u tom dijelu povlačenja ESF sredstava.</w:t>
      </w:r>
    </w:p>
    <w:p w:rsidR="00B27540" w:rsidRDefault="00B27540" w:rsidP="006918FE">
      <w:pPr>
        <w:ind w:right="-8"/>
        <w:jc w:val="both"/>
        <w:rPr>
          <w:rFonts w:ascii="Arial" w:hAnsi="Arial" w:cs="Arial"/>
          <w:b/>
          <w:color w:val="auto"/>
          <w:sz w:val="22"/>
          <w:szCs w:val="22"/>
        </w:rPr>
      </w:pPr>
    </w:p>
    <w:p w:rsidR="00B27540" w:rsidRPr="00E85451" w:rsidRDefault="00B27540" w:rsidP="006918FE">
      <w:pPr>
        <w:ind w:right="-8"/>
        <w:jc w:val="both"/>
        <w:rPr>
          <w:rFonts w:ascii="Arial" w:hAnsi="Arial" w:cs="Arial"/>
          <w:b/>
          <w:color w:val="auto"/>
          <w:sz w:val="22"/>
          <w:szCs w:val="22"/>
        </w:rPr>
      </w:pPr>
    </w:p>
    <w:p w:rsidR="00BE542C" w:rsidRPr="000F3158" w:rsidRDefault="00BE542C" w:rsidP="006918FE">
      <w:pPr>
        <w:ind w:right="-8"/>
        <w:jc w:val="both"/>
        <w:rPr>
          <w:rFonts w:ascii="Arial" w:hAnsi="Arial" w:cs="Arial"/>
          <w:b/>
          <w:color w:val="auto"/>
          <w:szCs w:val="24"/>
        </w:rPr>
      </w:pPr>
      <w:r w:rsidRPr="000F3158">
        <w:rPr>
          <w:rFonts w:ascii="Arial" w:hAnsi="Arial" w:cs="Arial"/>
          <w:b/>
          <w:color w:val="auto"/>
          <w:szCs w:val="24"/>
        </w:rPr>
        <w:t>Jačanje uloge u regiji te jačanje projektnih kapaciteta Agencije</w:t>
      </w:r>
    </w:p>
    <w:p w:rsidR="00BE542C" w:rsidRPr="00DF03F0" w:rsidRDefault="00BE542C" w:rsidP="006918FE">
      <w:pPr>
        <w:ind w:right="-8"/>
        <w:jc w:val="both"/>
        <w:rPr>
          <w:rFonts w:ascii="Arial" w:hAnsi="Arial" w:cs="Arial"/>
          <w:color w:val="auto"/>
          <w:sz w:val="22"/>
          <w:szCs w:val="22"/>
        </w:rPr>
      </w:pPr>
    </w:p>
    <w:p w:rsidR="00B27540" w:rsidRPr="00DF03F0" w:rsidRDefault="00B27540" w:rsidP="00B27540">
      <w:pPr>
        <w:widowControl/>
        <w:jc w:val="both"/>
        <w:rPr>
          <w:rFonts w:ascii="Arial" w:hAnsi="Arial" w:cs="Arial"/>
          <w:color w:val="auto"/>
          <w:sz w:val="22"/>
          <w:szCs w:val="22"/>
        </w:rPr>
      </w:pPr>
      <w:r w:rsidRPr="00DF03F0">
        <w:rPr>
          <w:rFonts w:ascii="Arial" w:hAnsi="Arial" w:cs="Arial"/>
          <w:color w:val="auto"/>
          <w:sz w:val="22"/>
          <w:szCs w:val="22"/>
        </w:rPr>
        <w:t>Agencija je tijekom 2014. godine poduzimala pripremne korake i mjere kako interne tako i u suradnji s relevantnim dionicima i resornim ministarstvima kako bi razvijala i širila svoje djelovanje prije svega u dijelu jačanja uloge u regiji pružanjem potpore i prijenosom znanja i iskustava u provedbi EU programa zemljama koje tek pripremaju nacionalne strukture za provedbu programa EU.</w:t>
      </w:r>
    </w:p>
    <w:p w:rsidR="00151663" w:rsidRPr="00DF03F0" w:rsidRDefault="00B27540" w:rsidP="00B27540">
      <w:pPr>
        <w:widowControl/>
        <w:jc w:val="both"/>
        <w:rPr>
          <w:rFonts w:ascii="Arial" w:hAnsi="Arial" w:cs="Arial"/>
          <w:color w:val="auto"/>
          <w:sz w:val="22"/>
          <w:szCs w:val="22"/>
        </w:rPr>
      </w:pPr>
      <w:r w:rsidRPr="00DF03F0">
        <w:rPr>
          <w:rFonts w:ascii="Arial" w:hAnsi="Arial" w:cs="Arial"/>
          <w:color w:val="auto"/>
          <w:sz w:val="22"/>
          <w:szCs w:val="22"/>
        </w:rPr>
        <w:t xml:space="preserve">U suradnji s Centrom izvrsnosti Ministarstva vanjskih i europskih poslova, predstavnici Agencije održali su predavanje </w:t>
      </w:r>
      <w:r w:rsidR="00151663" w:rsidRPr="00DF03F0">
        <w:rPr>
          <w:rFonts w:ascii="Arial" w:hAnsi="Arial" w:cs="Arial"/>
          <w:color w:val="auto"/>
          <w:sz w:val="22"/>
          <w:szCs w:val="22"/>
        </w:rPr>
        <w:t>tijelima državne vlasti u B</w:t>
      </w:r>
      <w:r w:rsidR="005A3545" w:rsidRPr="00DF03F0">
        <w:rPr>
          <w:rFonts w:ascii="Arial" w:hAnsi="Arial" w:cs="Arial"/>
          <w:color w:val="auto"/>
          <w:sz w:val="22"/>
          <w:szCs w:val="22"/>
        </w:rPr>
        <w:t>i</w:t>
      </w:r>
      <w:r w:rsidR="00151663" w:rsidRPr="00DF03F0">
        <w:rPr>
          <w:rFonts w:ascii="Arial" w:hAnsi="Arial" w:cs="Arial"/>
          <w:color w:val="auto"/>
          <w:sz w:val="22"/>
          <w:szCs w:val="22"/>
        </w:rPr>
        <w:t xml:space="preserve">H o osnovama programa EU s naglaskom na provedbu popratnih mreža i inicijativa te smo na studijski posjet ugostili predstavnike Crne Gore i </w:t>
      </w:r>
      <w:r w:rsidR="00432F46" w:rsidRPr="00DF03F0">
        <w:rPr>
          <w:rFonts w:ascii="Arial" w:hAnsi="Arial" w:cs="Arial"/>
          <w:color w:val="auto"/>
          <w:sz w:val="22"/>
          <w:szCs w:val="22"/>
        </w:rPr>
        <w:t>BiH</w:t>
      </w:r>
      <w:r w:rsidR="00151663" w:rsidRPr="00DF03F0">
        <w:rPr>
          <w:rFonts w:ascii="Arial" w:hAnsi="Arial" w:cs="Arial"/>
          <w:color w:val="auto"/>
          <w:sz w:val="22"/>
          <w:szCs w:val="22"/>
        </w:rPr>
        <w:t>.</w:t>
      </w:r>
    </w:p>
    <w:p w:rsidR="00B27540" w:rsidRPr="00DF03F0" w:rsidRDefault="00151663" w:rsidP="00151663">
      <w:pPr>
        <w:widowControl/>
        <w:jc w:val="both"/>
        <w:rPr>
          <w:rFonts w:ascii="Arial" w:hAnsi="Arial" w:cs="Arial"/>
          <w:color w:val="auto"/>
          <w:sz w:val="22"/>
          <w:szCs w:val="22"/>
        </w:rPr>
      </w:pPr>
      <w:r w:rsidRPr="00DF03F0">
        <w:rPr>
          <w:rFonts w:ascii="Arial" w:hAnsi="Arial" w:cs="Arial"/>
          <w:color w:val="auto"/>
          <w:sz w:val="22"/>
          <w:szCs w:val="22"/>
        </w:rPr>
        <w:t>Agencija će i dalje pratiti i uključivati se u aktivnosti prijenosa znanja prema dionicima u regiji te posredstvom Centra izvrsnosti MVEP-a iskazivati interes u tom dijelu.</w:t>
      </w:r>
    </w:p>
    <w:p w:rsidR="00BE542C" w:rsidRDefault="00BE542C" w:rsidP="006918FE">
      <w:pPr>
        <w:ind w:right="-8"/>
        <w:jc w:val="both"/>
        <w:rPr>
          <w:rFonts w:ascii="Arial" w:hAnsi="Arial" w:cs="Arial"/>
          <w:b/>
          <w:color w:val="auto"/>
          <w:sz w:val="22"/>
          <w:szCs w:val="22"/>
        </w:rPr>
      </w:pPr>
    </w:p>
    <w:p w:rsidR="00B27540" w:rsidRPr="00151663" w:rsidRDefault="00B27540" w:rsidP="006918FE">
      <w:pPr>
        <w:ind w:right="-8"/>
        <w:jc w:val="both"/>
        <w:rPr>
          <w:rFonts w:ascii="Arial" w:hAnsi="Arial" w:cs="Arial"/>
          <w:b/>
          <w:color w:val="auto"/>
          <w:sz w:val="22"/>
          <w:szCs w:val="22"/>
        </w:rPr>
      </w:pPr>
    </w:p>
    <w:p w:rsidR="006918FE" w:rsidRPr="000F3158" w:rsidRDefault="00BE542C" w:rsidP="006918FE">
      <w:pPr>
        <w:ind w:right="-8"/>
        <w:jc w:val="both"/>
        <w:rPr>
          <w:rFonts w:ascii="Arial" w:hAnsi="Arial" w:cs="Arial"/>
          <w:b/>
          <w:color w:val="auto"/>
          <w:szCs w:val="24"/>
        </w:rPr>
      </w:pPr>
      <w:r w:rsidRPr="000F3158">
        <w:rPr>
          <w:rFonts w:ascii="Arial" w:hAnsi="Arial" w:cs="Arial"/>
          <w:b/>
          <w:color w:val="auto"/>
          <w:szCs w:val="24"/>
        </w:rPr>
        <w:t>Povećanje vidljivosti</w:t>
      </w:r>
    </w:p>
    <w:p w:rsidR="006918FE" w:rsidRPr="00E85451" w:rsidRDefault="006918FE" w:rsidP="006918FE">
      <w:pPr>
        <w:ind w:right="-8"/>
        <w:jc w:val="both"/>
        <w:rPr>
          <w:rFonts w:ascii="Arial" w:hAnsi="Arial" w:cs="Arial"/>
          <w:color w:val="auto"/>
          <w:sz w:val="22"/>
          <w:szCs w:val="22"/>
        </w:rPr>
      </w:pPr>
    </w:p>
    <w:p w:rsidR="006918FE" w:rsidRPr="00E85451" w:rsidRDefault="006918FE" w:rsidP="006918FE">
      <w:pPr>
        <w:jc w:val="both"/>
        <w:rPr>
          <w:rFonts w:ascii="Arial" w:hAnsi="Arial" w:cs="Arial"/>
          <w:color w:val="auto"/>
          <w:sz w:val="22"/>
          <w:szCs w:val="22"/>
        </w:rPr>
      </w:pPr>
      <w:r w:rsidRPr="00E85451">
        <w:rPr>
          <w:rFonts w:ascii="Arial" w:hAnsi="Arial" w:cs="Arial"/>
          <w:color w:val="auto"/>
          <w:sz w:val="22"/>
          <w:szCs w:val="22"/>
        </w:rPr>
        <w:t xml:space="preserve">Vidljivost Agencije za mobilnost i programe EU, odnosno programa, mreža i inicijativa u njezinoj nadležnosti, mjeri se brojem medijskih objava, te brojem informativnih i promotivnih aktivnosti koje je Agencija provela tijekom godine. </w:t>
      </w:r>
    </w:p>
    <w:p w:rsidR="006918FE" w:rsidRPr="00E85451" w:rsidRDefault="006918FE" w:rsidP="006918FE">
      <w:pPr>
        <w:jc w:val="both"/>
        <w:rPr>
          <w:rFonts w:ascii="Arial" w:hAnsi="Arial" w:cs="Arial"/>
          <w:color w:val="auto"/>
          <w:sz w:val="22"/>
          <w:szCs w:val="22"/>
        </w:rPr>
      </w:pPr>
    </w:p>
    <w:p w:rsidR="006918FE" w:rsidRPr="00E85451" w:rsidRDefault="006918FE" w:rsidP="006918FE">
      <w:pPr>
        <w:jc w:val="both"/>
        <w:rPr>
          <w:rFonts w:ascii="Arial" w:hAnsi="Arial" w:cs="Arial"/>
          <w:color w:val="auto"/>
          <w:sz w:val="22"/>
          <w:szCs w:val="22"/>
        </w:rPr>
      </w:pPr>
      <w:r w:rsidRPr="00E85451">
        <w:rPr>
          <w:rFonts w:ascii="Arial" w:hAnsi="Arial" w:cs="Arial"/>
          <w:color w:val="auto"/>
          <w:sz w:val="22"/>
          <w:szCs w:val="22"/>
        </w:rPr>
        <w:t>Tako je tijekom 2014. godine zabilježeno 2788 medijskih objava u kojima se spominje Agencija za mobilnost i programe EU odnosno programi, mreže i inicijative koje provodi. Broj zabilježenih objava raste, te je u 2014.g. u usporedbi s 2013.g. porastao za 417 objava, odnosno 17,6%. Posebno je značajno što je najviše objava u elektroničkim medijima zabilježeno upravo u naciona</w:t>
      </w:r>
      <w:r w:rsidR="004D6902" w:rsidRPr="00E85451">
        <w:rPr>
          <w:rFonts w:ascii="Arial" w:hAnsi="Arial" w:cs="Arial"/>
          <w:color w:val="auto"/>
          <w:sz w:val="22"/>
          <w:szCs w:val="22"/>
        </w:rPr>
        <w:t>l</w:t>
      </w:r>
      <w:r w:rsidRPr="00E85451">
        <w:rPr>
          <w:rFonts w:ascii="Arial" w:hAnsi="Arial" w:cs="Arial"/>
          <w:color w:val="auto"/>
          <w:sz w:val="22"/>
          <w:szCs w:val="22"/>
        </w:rPr>
        <w:t xml:space="preserve">nim medijima, koji su ujedno i najgledaniji i imaju najveći doseg – na HTV1 zabilježeno je čak 29 objava, na HTV4 27 objava, na HTV2 zabilježeno je 8 objava, jednako kao i na Novoj TV; dok je RTL objavio 5 priloga na temu </w:t>
      </w:r>
      <w:r w:rsidRPr="00E85451">
        <w:rPr>
          <w:rFonts w:ascii="Arial" w:hAnsi="Arial" w:cs="Arial"/>
          <w:color w:val="auto"/>
          <w:sz w:val="22"/>
          <w:szCs w:val="22"/>
        </w:rPr>
        <w:lastRenderedPageBreak/>
        <w:t>Agencije i programa, mreža i inicijativa u nadležnosti.</w:t>
      </w:r>
    </w:p>
    <w:p w:rsidR="006918FE" w:rsidRPr="00E85451" w:rsidRDefault="006918FE" w:rsidP="006918FE">
      <w:pPr>
        <w:jc w:val="both"/>
        <w:rPr>
          <w:rFonts w:ascii="Arial" w:hAnsi="Arial" w:cs="Arial"/>
          <w:color w:val="auto"/>
          <w:sz w:val="22"/>
          <w:szCs w:val="22"/>
        </w:rPr>
      </w:pPr>
    </w:p>
    <w:p w:rsidR="006918FE" w:rsidRPr="00E85451" w:rsidRDefault="006918FE" w:rsidP="006918FE">
      <w:pPr>
        <w:jc w:val="both"/>
        <w:rPr>
          <w:rFonts w:ascii="Arial" w:hAnsi="Arial" w:cs="Arial"/>
          <w:color w:val="auto"/>
          <w:sz w:val="22"/>
          <w:szCs w:val="22"/>
        </w:rPr>
      </w:pPr>
      <w:r w:rsidRPr="00E85451">
        <w:rPr>
          <w:rFonts w:ascii="Arial" w:hAnsi="Arial" w:cs="Arial"/>
          <w:color w:val="auto"/>
          <w:sz w:val="22"/>
          <w:szCs w:val="22"/>
        </w:rPr>
        <w:t xml:space="preserve">Uz navedeno, Agencija za mobilnost i programe EU u 2014. godini organizirala je sveukupno 83 informativno-promotivna događaja, od toga 22 informativna dana, 17 webinara, 13 radionica, 10 seminara, 7 treninga, 6 konferencija, 2 osposobljavanja, jedan okrugli stol, jednu svečanu dodjelu nagrada te 4 međunarodna sastanka. </w:t>
      </w:r>
    </w:p>
    <w:p w:rsidR="006918FE" w:rsidRPr="00E85451" w:rsidRDefault="006918FE" w:rsidP="006918FE">
      <w:pPr>
        <w:jc w:val="both"/>
        <w:rPr>
          <w:rFonts w:ascii="Arial" w:hAnsi="Arial" w:cs="Arial"/>
          <w:color w:val="auto"/>
          <w:sz w:val="22"/>
          <w:szCs w:val="22"/>
        </w:rPr>
      </w:pPr>
    </w:p>
    <w:p w:rsidR="006918FE" w:rsidRPr="00E85451" w:rsidRDefault="006918FE" w:rsidP="006918FE">
      <w:pPr>
        <w:jc w:val="both"/>
        <w:rPr>
          <w:rFonts w:ascii="Arial" w:hAnsi="Arial" w:cs="Arial"/>
          <w:color w:val="auto"/>
          <w:sz w:val="22"/>
          <w:szCs w:val="22"/>
        </w:rPr>
      </w:pPr>
      <w:r w:rsidRPr="00E85451">
        <w:rPr>
          <w:rFonts w:ascii="Arial" w:hAnsi="Arial" w:cs="Arial"/>
          <w:color w:val="auto"/>
          <w:sz w:val="22"/>
          <w:szCs w:val="22"/>
        </w:rPr>
        <w:t xml:space="preserve">Dodatno, tijekom godine, djelatnici Agencije za mobilnost i programe EU sudjelovali su na ukupno </w:t>
      </w:r>
      <w:r w:rsidRPr="00FB34D0">
        <w:rPr>
          <w:rFonts w:ascii="Arial" w:hAnsi="Arial" w:cs="Arial"/>
          <w:color w:val="auto"/>
          <w:sz w:val="22"/>
          <w:szCs w:val="22"/>
        </w:rPr>
        <w:t>121 događanju</w:t>
      </w:r>
      <w:r w:rsidRPr="00E85451">
        <w:rPr>
          <w:rFonts w:ascii="Arial" w:hAnsi="Arial" w:cs="Arial"/>
          <w:color w:val="auto"/>
          <w:sz w:val="22"/>
          <w:szCs w:val="22"/>
        </w:rPr>
        <w:t xml:space="preserve"> diljem Republike Hrvatske, u organizaciji drugih suradnih ustanova, te tako informirali javnost o mogućnostima koje se pružaju kroz sudjelovanje u programima, mrežama i inicijativama koje Agencija provodi.</w:t>
      </w:r>
    </w:p>
    <w:p w:rsidR="006918FE" w:rsidRPr="00E85451" w:rsidRDefault="006918FE" w:rsidP="006918FE">
      <w:pPr>
        <w:jc w:val="both"/>
        <w:rPr>
          <w:rFonts w:ascii="Arial" w:hAnsi="Arial" w:cs="Arial"/>
          <w:color w:val="auto"/>
          <w:sz w:val="22"/>
          <w:szCs w:val="22"/>
        </w:rPr>
      </w:pPr>
    </w:p>
    <w:p w:rsidR="006918FE" w:rsidRPr="00E85451" w:rsidRDefault="006918FE" w:rsidP="006918FE">
      <w:pPr>
        <w:jc w:val="both"/>
        <w:rPr>
          <w:rFonts w:ascii="Arial" w:hAnsi="Arial" w:cs="Arial"/>
          <w:color w:val="auto"/>
          <w:sz w:val="22"/>
          <w:szCs w:val="22"/>
        </w:rPr>
      </w:pPr>
      <w:r w:rsidRPr="00E85451">
        <w:rPr>
          <w:rFonts w:ascii="Arial" w:hAnsi="Arial" w:cs="Arial"/>
          <w:color w:val="auto"/>
          <w:sz w:val="22"/>
          <w:szCs w:val="22"/>
        </w:rPr>
        <w:t>Dodatno je u organizaciji multiplikatora, osoba koje Agencija angažira za lokalno i regionalno predstavljanje svojih aktivnosti</w:t>
      </w:r>
      <w:r w:rsidR="00FB34D0">
        <w:rPr>
          <w:rFonts w:ascii="Arial" w:hAnsi="Arial" w:cs="Arial"/>
          <w:color w:val="auto"/>
          <w:sz w:val="22"/>
          <w:szCs w:val="22"/>
        </w:rPr>
        <w:t xml:space="preserve"> u dijelu programa Erasmus+</w:t>
      </w:r>
      <w:r w:rsidRPr="00E85451">
        <w:rPr>
          <w:rFonts w:ascii="Arial" w:hAnsi="Arial" w:cs="Arial"/>
          <w:color w:val="auto"/>
          <w:sz w:val="22"/>
          <w:szCs w:val="22"/>
        </w:rPr>
        <w:t xml:space="preserve">, održano </w:t>
      </w:r>
      <w:r w:rsidRPr="00FB34D0">
        <w:rPr>
          <w:rFonts w:ascii="Arial" w:hAnsi="Arial" w:cs="Arial"/>
          <w:color w:val="auto"/>
          <w:sz w:val="22"/>
          <w:szCs w:val="22"/>
        </w:rPr>
        <w:t>ukupno 38 predstavljanja programa</w:t>
      </w:r>
      <w:r w:rsidRPr="00E85451">
        <w:rPr>
          <w:rFonts w:ascii="Arial" w:hAnsi="Arial" w:cs="Arial"/>
          <w:color w:val="auto"/>
          <w:sz w:val="22"/>
          <w:szCs w:val="22"/>
        </w:rPr>
        <w:t xml:space="preserve"> i inicijativa u deset županija. </w:t>
      </w:r>
    </w:p>
    <w:p w:rsidR="006918FE" w:rsidRPr="00E85451" w:rsidRDefault="006918FE" w:rsidP="006918FE">
      <w:pPr>
        <w:jc w:val="both"/>
        <w:rPr>
          <w:rFonts w:ascii="Arial" w:hAnsi="Arial" w:cs="Arial"/>
          <w:color w:val="auto"/>
          <w:sz w:val="22"/>
          <w:szCs w:val="22"/>
        </w:rPr>
      </w:pPr>
    </w:p>
    <w:p w:rsidR="006918FE" w:rsidRPr="00E85451" w:rsidRDefault="006918FE" w:rsidP="006918FE">
      <w:pPr>
        <w:jc w:val="both"/>
        <w:rPr>
          <w:rFonts w:ascii="Arial" w:hAnsi="Arial" w:cs="Arial"/>
          <w:color w:val="auto"/>
          <w:sz w:val="22"/>
          <w:szCs w:val="22"/>
        </w:rPr>
      </w:pPr>
      <w:r w:rsidRPr="00E85451">
        <w:rPr>
          <w:rFonts w:ascii="Arial" w:hAnsi="Arial" w:cs="Arial"/>
          <w:color w:val="auto"/>
          <w:sz w:val="22"/>
          <w:szCs w:val="22"/>
        </w:rPr>
        <w:t>Procjenjuje se da je zahvaljujući svim navedenim događanjima i gostovanjima o programima, mrežama i inicijativama informirano više od 11000 građana Republike Hrvatske.</w:t>
      </w:r>
    </w:p>
    <w:p w:rsidR="006918FE" w:rsidRPr="00E85451" w:rsidRDefault="006918FE" w:rsidP="006918FE">
      <w:pPr>
        <w:widowControl/>
        <w:jc w:val="both"/>
        <w:rPr>
          <w:rFonts w:ascii="Arial" w:hAnsi="Arial" w:cs="Arial"/>
          <w:color w:val="auto"/>
          <w:sz w:val="22"/>
          <w:szCs w:val="22"/>
          <w:lang w:eastAsia="en-US"/>
        </w:rPr>
      </w:pPr>
    </w:p>
    <w:p w:rsidR="006918FE" w:rsidRPr="00E85451" w:rsidRDefault="006918FE" w:rsidP="006918FE">
      <w:pPr>
        <w:widowControl/>
        <w:jc w:val="both"/>
        <w:rPr>
          <w:rFonts w:ascii="Arial" w:hAnsi="Arial" w:cs="Arial"/>
          <w:color w:val="auto"/>
          <w:sz w:val="22"/>
          <w:szCs w:val="22"/>
          <w:lang w:eastAsia="en-US"/>
        </w:rPr>
      </w:pPr>
      <w:r w:rsidRPr="00E85451">
        <w:rPr>
          <w:rFonts w:ascii="Arial" w:hAnsi="Arial" w:cs="Arial"/>
          <w:color w:val="auto"/>
          <w:sz w:val="22"/>
          <w:szCs w:val="22"/>
          <w:lang w:eastAsia="en-US"/>
        </w:rPr>
        <w:t>S obzirom na broj medijskih objava te brojne informativne i promotivne aktivnosti, te na broj pregleda mrežne stranice (1</w:t>
      </w:r>
      <w:r w:rsidR="004D6902" w:rsidRPr="00E85451">
        <w:rPr>
          <w:rFonts w:ascii="Arial" w:hAnsi="Arial" w:cs="Arial"/>
          <w:color w:val="auto"/>
          <w:sz w:val="22"/>
          <w:szCs w:val="22"/>
          <w:lang w:eastAsia="en-US"/>
        </w:rPr>
        <w:t>.</w:t>
      </w:r>
      <w:r w:rsidRPr="00E85451">
        <w:rPr>
          <w:rFonts w:ascii="Arial" w:hAnsi="Arial" w:cs="Arial"/>
          <w:color w:val="auto"/>
          <w:sz w:val="22"/>
          <w:szCs w:val="22"/>
          <w:lang w:eastAsia="en-US"/>
        </w:rPr>
        <w:t>105</w:t>
      </w:r>
      <w:r w:rsidR="004D6902" w:rsidRPr="00E85451">
        <w:rPr>
          <w:rFonts w:ascii="Arial" w:hAnsi="Arial" w:cs="Arial"/>
          <w:color w:val="auto"/>
          <w:sz w:val="22"/>
          <w:szCs w:val="22"/>
          <w:lang w:eastAsia="en-US"/>
        </w:rPr>
        <w:t>.</w:t>
      </w:r>
      <w:r w:rsidRPr="00E85451">
        <w:rPr>
          <w:rFonts w:ascii="Arial" w:hAnsi="Arial" w:cs="Arial"/>
          <w:color w:val="auto"/>
          <w:sz w:val="22"/>
          <w:szCs w:val="22"/>
          <w:lang w:eastAsia="en-US"/>
        </w:rPr>
        <w:t>941 pregled), kao i na interes za sudjelovanje u programima mjerljiv kroz brojne upite, posjećenost aktivnosti koje Agencija organizira, kao i kroz broj zaprimljenih prijava, zaključujemo da je vidljivost tako postigla zadovoljavajuću razinu unutar obrazovnog i sektora znanosti, kao i među udrugama mladih. Jednako tako zamjetno je i povećanje vidljivosti Agencije unutar sustava državne i javne uprave, kroz upite koji pristižu iz navedenog sustava, pozive za gostovanja od strane srodnih ustanova, ili pak kroz zajedničke aktivnosti (primjerice s Ministarstvom regionalnog razvoja i fondova EU, Hrvatskog zavoda za zapošljavanje, Ministarstva vanjskih poslova, Državne škole za javnu upravu).</w:t>
      </w:r>
    </w:p>
    <w:p w:rsidR="006918FE" w:rsidRPr="00E85451" w:rsidRDefault="006918FE" w:rsidP="006918FE">
      <w:pPr>
        <w:widowControl/>
        <w:jc w:val="both"/>
        <w:rPr>
          <w:rFonts w:ascii="Arial" w:hAnsi="Arial" w:cs="Arial"/>
          <w:color w:val="auto"/>
          <w:sz w:val="22"/>
          <w:szCs w:val="22"/>
          <w:lang w:eastAsia="en-US"/>
        </w:rPr>
      </w:pPr>
    </w:p>
    <w:p w:rsidR="006918FE" w:rsidRPr="00E85451" w:rsidRDefault="006918FE" w:rsidP="006918FE">
      <w:pPr>
        <w:widowControl/>
        <w:jc w:val="both"/>
        <w:rPr>
          <w:rFonts w:ascii="Arial" w:hAnsi="Arial" w:cs="Arial"/>
          <w:color w:val="auto"/>
          <w:sz w:val="22"/>
          <w:szCs w:val="22"/>
          <w:lang w:eastAsia="en-US"/>
        </w:rPr>
      </w:pPr>
      <w:r w:rsidRPr="00E85451">
        <w:rPr>
          <w:rFonts w:ascii="Arial" w:hAnsi="Arial" w:cs="Arial"/>
          <w:color w:val="auto"/>
          <w:sz w:val="22"/>
          <w:szCs w:val="22"/>
          <w:lang w:eastAsia="en-US"/>
        </w:rPr>
        <w:t xml:space="preserve">Posebno je značajno, radi približavanja programa, mreža i inicijativa građanima RH, prilikom predstavljanja aktivnosti Agencije promoviranje financiranih projekata kao primjera dobrih praksi, radi diseminacije i daljnjeg potencijalnog korištenja projektnih rezultata. </w:t>
      </w:r>
      <w:r w:rsidR="00A475C8" w:rsidRPr="00E85451">
        <w:rPr>
          <w:rFonts w:ascii="Arial" w:hAnsi="Arial" w:cs="Arial"/>
          <w:color w:val="auto"/>
          <w:sz w:val="22"/>
          <w:szCs w:val="22"/>
          <w:lang w:eastAsia="en-US"/>
        </w:rPr>
        <w:t>Primijećeno</w:t>
      </w:r>
      <w:r w:rsidRPr="00E85451">
        <w:rPr>
          <w:rFonts w:ascii="Arial" w:hAnsi="Arial" w:cs="Arial"/>
          <w:color w:val="auto"/>
          <w:sz w:val="22"/>
          <w:szCs w:val="22"/>
          <w:lang w:eastAsia="en-US"/>
        </w:rPr>
        <w:t xml:space="preserve"> je da na predstavljanje konkretnih primjera posebno dobro reagiraju predstavnici medija, ali i sami polaznici informativnih i promotivnih aktivnosti Agencije te se s navedenom praksom planira nastaviti i dalje, u čak intenzivnijem opsegu s obzirom da se očekuje povećanje broja primjera dobrih praksi tijekom godina.</w:t>
      </w:r>
    </w:p>
    <w:p w:rsidR="006918FE" w:rsidRDefault="006918FE" w:rsidP="00B97010">
      <w:pPr>
        <w:rPr>
          <w:rFonts w:ascii="Arial" w:hAnsi="Arial" w:cs="Arial"/>
          <w:color w:val="auto"/>
          <w:sz w:val="22"/>
          <w:szCs w:val="22"/>
        </w:rPr>
      </w:pPr>
    </w:p>
    <w:p w:rsidR="00702C04" w:rsidRDefault="00702C04">
      <w:pPr>
        <w:rPr>
          <w:rFonts w:ascii="Arial" w:hAnsi="Arial" w:cs="Arial"/>
          <w:color w:val="auto"/>
          <w:sz w:val="22"/>
          <w:szCs w:val="22"/>
        </w:rPr>
      </w:pPr>
      <w:r>
        <w:rPr>
          <w:rFonts w:ascii="Arial" w:hAnsi="Arial" w:cs="Arial"/>
          <w:color w:val="auto"/>
          <w:sz w:val="22"/>
          <w:szCs w:val="22"/>
        </w:rPr>
        <w:br w:type="page"/>
      </w:r>
    </w:p>
    <w:p w:rsidR="00702C04" w:rsidRPr="00E85451" w:rsidRDefault="00702C04" w:rsidP="00B97010">
      <w:pPr>
        <w:rPr>
          <w:rFonts w:ascii="Arial" w:hAnsi="Arial" w:cs="Arial"/>
          <w:color w:val="auto"/>
          <w:sz w:val="22"/>
          <w:szCs w:val="22"/>
        </w:rPr>
      </w:pPr>
    </w:p>
    <w:p w:rsidR="00B97010" w:rsidRPr="000F3158" w:rsidRDefault="00B97010" w:rsidP="00601741">
      <w:pPr>
        <w:pStyle w:val="Heading1"/>
        <w:numPr>
          <w:ilvl w:val="0"/>
          <w:numId w:val="27"/>
        </w:numPr>
        <w:rPr>
          <w:rFonts w:ascii="Arial" w:hAnsi="Arial" w:cs="Arial"/>
          <w:color w:val="auto"/>
          <w:sz w:val="28"/>
          <w:szCs w:val="28"/>
        </w:rPr>
      </w:pPr>
      <w:bookmarkStart w:id="30" w:name="_Toc419192163"/>
      <w:r w:rsidRPr="000F3158" w:rsidDel="006918FE">
        <w:rPr>
          <w:rFonts w:ascii="Arial" w:hAnsi="Arial" w:cs="Arial"/>
          <w:color w:val="auto"/>
          <w:sz w:val="28"/>
          <w:szCs w:val="28"/>
        </w:rPr>
        <w:t>Integrirani sustav kontrole</w:t>
      </w:r>
      <w:bookmarkEnd w:id="30"/>
    </w:p>
    <w:p w:rsidR="000F3799" w:rsidRPr="00E85451" w:rsidRDefault="000F3799">
      <w:pPr>
        <w:ind w:right="-8"/>
        <w:jc w:val="both"/>
        <w:rPr>
          <w:rFonts w:ascii="Arial" w:hAnsi="Arial" w:cs="Arial"/>
          <w:color w:val="auto"/>
          <w:sz w:val="22"/>
          <w:szCs w:val="22"/>
        </w:rPr>
      </w:pPr>
    </w:p>
    <w:p w:rsidR="00042914" w:rsidRPr="00E85451" w:rsidRDefault="00042914" w:rsidP="00042914">
      <w:pPr>
        <w:widowControl/>
        <w:spacing w:after="200" w:line="276" w:lineRule="auto"/>
        <w:rPr>
          <w:rFonts w:ascii="Arial" w:eastAsiaTheme="minorHAnsi" w:hAnsi="Arial" w:cs="Arial"/>
          <w:color w:val="auto"/>
          <w:sz w:val="22"/>
          <w:szCs w:val="22"/>
          <w:lang w:eastAsia="en-US"/>
        </w:rPr>
      </w:pPr>
      <w:r w:rsidRPr="00E85451">
        <w:rPr>
          <w:rFonts w:ascii="Arial" w:eastAsiaTheme="minorHAnsi" w:hAnsi="Arial" w:cs="Arial"/>
          <w:color w:val="auto"/>
          <w:sz w:val="22"/>
          <w:szCs w:val="22"/>
          <w:lang w:eastAsia="en-US"/>
        </w:rPr>
        <w:t>Integrirani sustav kontrole uključuje 4 razine kontrole:</w:t>
      </w:r>
    </w:p>
    <w:p w:rsidR="00042914" w:rsidRPr="00E85451" w:rsidRDefault="00042914" w:rsidP="00042914">
      <w:pPr>
        <w:widowControl/>
        <w:numPr>
          <w:ilvl w:val="0"/>
          <w:numId w:val="26"/>
        </w:numPr>
        <w:spacing w:after="200" w:line="276" w:lineRule="auto"/>
        <w:contextualSpacing/>
        <w:rPr>
          <w:rFonts w:ascii="Arial" w:eastAsiaTheme="minorHAnsi" w:hAnsi="Arial" w:cs="Arial"/>
          <w:color w:val="auto"/>
          <w:sz w:val="22"/>
          <w:szCs w:val="22"/>
          <w:lang w:eastAsia="en-US"/>
        </w:rPr>
      </w:pPr>
      <w:r w:rsidRPr="00E85451">
        <w:rPr>
          <w:rFonts w:ascii="Arial" w:eastAsiaTheme="minorHAnsi" w:hAnsi="Arial" w:cs="Arial"/>
          <w:color w:val="auto"/>
          <w:sz w:val="22"/>
          <w:szCs w:val="22"/>
          <w:lang w:eastAsia="en-US"/>
        </w:rPr>
        <w:t xml:space="preserve">unutarnji sustav kontrole,  </w:t>
      </w:r>
    </w:p>
    <w:p w:rsidR="00042914" w:rsidRPr="00E85451" w:rsidRDefault="00042914" w:rsidP="00042914">
      <w:pPr>
        <w:widowControl/>
        <w:numPr>
          <w:ilvl w:val="0"/>
          <w:numId w:val="26"/>
        </w:numPr>
        <w:spacing w:after="200" w:line="276" w:lineRule="auto"/>
        <w:contextualSpacing/>
        <w:rPr>
          <w:rFonts w:ascii="Arial" w:eastAsiaTheme="minorHAnsi" w:hAnsi="Arial" w:cs="Arial"/>
          <w:color w:val="auto"/>
          <w:sz w:val="22"/>
          <w:szCs w:val="22"/>
          <w:lang w:eastAsia="en-US"/>
        </w:rPr>
      </w:pPr>
      <w:r w:rsidRPr="00E85451">
        <w:rPr>
          <w:rFonts w:ascii="Arial" w:eastAsiaTheme="minorHAnsi" w:hAnsi="Arial" w:cs="Arial"/>
          <w:color w:val="auto"/>
          <w:sz w:val="22"/>
          <w:szCs w:val="22"/>
          <w:lang w:eastAsia="en-US"/>
        </w:rPr>
        <w:t>kontrola godišnjeg izvješća i godišnje Deklaracije o jamstvu od strane ovlaštene vanjske revizorske kuće,</w:t>
      </w:r>
    </w:p>
    <w:p w:rsidR="00042914" w:rsidRPr="00E85451" w:rsidRDefault="00042914" w:rsidP="00042914">
      <w:pPr>
        <w:widowControl/>
        <w:numPr>
          <w:ilvl w:val="0"/>
          <w:numId w:val="26"/>
        </w:numPr>
        <w:spacing w:after="200" w:line="276" w:lineRule="auto"/>
        <w:contextualSpacing/>
        <w:rPr>
          <w:rFonts w:ascii="Arial" w:eastAsiaTheme="minorHAnsi" w:hAnsi="Arial" w:cs="Arial"/>
          <w:color w:val="auto"/>
          <w:sz w:val="22"/>
          <w:szCs w:val="22"/>
          <w:lang w:eastAsia="en-US"/>
        </w:rPr>
      </w:pPr>
      <w:r w:rsidRPr="00E85451">
        <w:rPr>
          <w:rFonts w:ascii="Arial" w:eastAsiaTheme="minorHAnsi" w:hAnsi="Arial" w:cs="Arial"/>
          <w:color w:val="auto"/>
          <w:sz w:val="22"/>
          <w:szCs w:val="22"/>
          <w:lang w:eastAsia="en-US"/>
        </w:rPr>
        <w:t xml:space="preserve">sekundarne kontrole Ministarstva znanosti, obrazovanja i sporta te Ministarstva socijalne politike i mladih, </w:t>
      </w:r>
    </w:p>
    <w:p w:rsidR="00042914" w:rsidRPr="00E85451" w:rsidRDefault="00042914" w:rsidP="00042914">
      <w:pPr>
        <w:widowControl/>
        <w:numPr>
          <w:ilvl w:val="0"/>
          <w:numId w:val="26"/>
        </w:numPr>
        <w:spacing w:after="200" w:line="276" w:lineRule="auto"/>
        <w:contextualSpacing/>
        <w:rPr>
          <w:rFonts w:ascii="Arial" w:eastAsiaTheme="minorHAnsi" w:hAnsi="Arial" w:cs="Arial"/>
          <w:color w:val="auto"/>
          <w:sz w:val="22"/>
          <w:szCs w:val="22"/>
          <w:lang w:eastAsia="en-US"/>
        </w:rPr>
      </w:pPr>
      <w:r w:rsidRPr="00E85451">
        <w:rPr>
          <w:rFonts w:ascii="Arial" w:eastAsiaTheme="minorHAnsi" w:hAnsi="Arial" w:cs="Arial"/>
          <w:color w:val="auto"/>
          <w:sz w:val="22"/>
          <w:szCs w:val="22"/>
          <w:lang w:eastAsia="en-US"/>
        </w:rPr>
        <w:t>kontrole Europske komisije i drugih tijela Europske unije.</w:t>
      </w:r>
    </w:p>
    <w:p w:rsidR="00042914" w:rsidRPr="00E85451" w:rsidRDefault="00042914" w:rsidP="00042914">
      <w:pPr>
        <w:widowControl/>
        <w:spacing w:after="200" w:line="276" w:lineRule="auto"/>
        <w:ind w:left="720"/>
        <w:contextualSpacing/>
        <w:rPr>
          <w:rFonts w:ascii="Arial" w:eastAsiaTheme="minorHAnsi" w:hAnsi="Arial" w:cs="Arial"/>
          <w:color w:val="auto"/>
          <w:sz w:val="22"/>
          <w:szCs w:val="22"/>
          <w:lang w:eastAsia="en-US"/>
        </w:rPr>
      </w:pPr>
    </w:p>
    <w:p w:rsidR="00042914" w:rsidRPr="00E85451" w:rsidRDefault="00042914" w:rsidP="00042914">
      <w:pPr>
        <w:widowControl/>
        <w:spacing w:after="200" w:line="276" w:lineRule="auto"/>
        <w:jc w:val="both"/>
        <w:rPr>
          <w:rFonts w:ascii="Arial" w:eastAsiaTheme="minorHAnsi" w:hAnsi="Arial" w:cs="Arial"/>
          <w:color w:val="auto"/>
          <w:sz w:val="22"/>
          <w:szCs w:val="22"/>
          <w:lang w:eastAsia="en-US"/>
        </w:rPr>
      </w:pPr>
      <w:r w:rsidRPr="00E85451">
        <w:rPr>
          <w:rFonts w:ascii="Arial" w:eastAsiaTheme="minorHAnsi" w:hAnsi="Arial" w:cs="Arial"/>
          <w:color w:val="auto"/>
          <w:sz w:val="22"/>
          <w:szCs w:val="22"/>
          <w:lang w:eastAsia="en-US"/>
        </w:rPr>
        <w:t>Sustav unutarnjih financijskih kontrola Agencije ostvaruje se kroz provedbu unutarnjih revizija procesa Agencije te primarnih kontrol</w:t>
      </w:r>
      <w:r w:rsidR="004D6902" w:rsidRPr="00E85451">
        <w:rPr>
          <w:rFonts w:ascii="Arial" w:eastAsiaTheme="minorHAnsi" w:hAnsi="Arial" w:cs="Arial"/>
          <w:color w:val="auto"/>
          <w:sz w:val="22"/>
          <w:szCs w:val="22"/>
          <w:lang w:eastAsia="en-US"/>
        </w:rPr>
        <w:t>a</w:t>
      </w:r>
      <w:r w:rsidRPr="00E85451">
        <w:rPr>
          <w:rFonts w:ascii="Arial" w:eastAsiaTheme="minorHAnsi" w:hAnsi="Arial" w:cs="Arial"/>
          <w:color w:val="auto"/>
          <w:sz w:val="22"/>
          <w:szCs w:val="22"/>
          <w:lang w:eastAsia="en-US"/>
        </w:rPr>
        <w:t xml:space="preserve"> korisnika u svrhu provjere provedbe projekata programa Erasmus+ i njegova dva prethodnika, Programa za cjeloživotno učenje i programa Mladi na djelu.</w:t>
      </w:r>
    </w:p>
    <w:p w:rsidR="00042914" w:rsidRPr="00E85451" w:rsidRDefault="00042914" w:rsidP="00042914">
      <w:pPr>
        <w:widowControl/>
        <w:spacing w:after="200" w:line="276" w:lineRule="auto"/>
        <w:jc w:val="both"/>
        <w:rPr>
          <w:rFonts w:ascii="Arial" w:eastAsiaTheme="minorHAnsi" w:hAnsi="Arial" w:cs="Arial"/>
          <w:color w:val="auto"/>
          <w:sz w:val="22"/>
          <w:szCs w:val="22"/>
          <w:lang w:eastAsia="en-US"/>
        </w:rPr>
      </w:pPr>
      <w:r w:rsidRPr="00E85451">
        <w:rPr>
          <w:rFonts w:ascii="Arial" w:eastAsiaTheme="minorHAnsi" w:hAnsi="Arial" w:cs="Arial"/>
          <w:color w:val="auto"/>
          <w:sz w:val="22"/>
          <w:szCs w:val="22"/>
          <w:lang w:eastAsia="en-US"/>
        </w:rPr>
        <w:t>Za razliku od prijašnjih godina, od 2014. g. godišnju Deklaraciju o jamstvu za sudjelovanje u programu Erasmus+ priprema Agencija (u prethodnoj generaciji programa nadležna ministarstva pripremala su Deklaraciju) a provjeru Deklaracije o jamstvu provodi ovlaštena vanjska revizorska kuća</w:t>
      </w:r>
      <w:r w:rsidR="004D6902" w:rsidRPr="00E85451">
        <w:rPr>
          <w:rFonts w:ascii="Arial" w:eastAsiaTheme="minorHAnsi" w:hAnsi="Arial" w:cs="Arial"/>
          <w:color w:val="auto"/>
          <w:sz w:val="22"/>
          <w:szCs w:val="22"/>
          <w:lang w:eastAsia="en-US"/>
        </w:rPr>
        <w:t xml:space="preserve"> koju odabiru nadležna ministarstva</w:t>
      </w:r>
      <w:r w:rsidRPr="00E85451">
        <w:rPr>
          <w:rFonts w:ascii="Arial" w:eastAsiaTheme="minorHAnsi" w:hAnsi="Arial" w:cs="Arial"/>
          <w:color w:val="auto"/>
          <w:sz w:val="22"/>
          <w:szCs w:val="22"/>
          <w:lang w:eastAsia="en-US"/>
        </w:rPr>
        <w:t>. Provjera se odnosi na vjerodostojnost financijskih izvješća Agencije, učinkovitost sustava provedbe primarnih kontrola korisnika financijskih potpora od strane Agencije te učinkovitost unutarnjeg sustava Agencije za provedbu programa Erasmus+.</w:t>
      </w:r>
    </w:p>
    <w:p w:rsidR="00042914" w:rsidRPr="00E85451" w:rsidRDefault="00042914" w:rsidP="004D6902">
      <w:pPr>
        <w:widowControl/>
        <w:spacing w:after="200" w:line="276" w:lineRule="auto"/>
        <w:jc w:val="both"/>
        <w:rPr>
          <w:rFonts w:ascii="Arial" w:eastAsiaTheme="minorHAnsi" w:hAnsi="Arial" w:cs="Arial"/>
          <w:color w:val="auto"/>
          <w:sz w:val="22"/>
          <w:szCs w:val="22"/>
          <w:lang w:eastAsia="en-US"/>
        </w:rPr>
      </w:pPr>
      <w:r w:rsidRPr="00E85451">
        <w:rPr>
          <w:rFonts w:ascii="Arial" w:eastAsiaTheme="minorHAnsi" w:hAnsi="Arial" w:cs="Arial"/>
          <w:color w:val="auto"/>
          <w:sz w:val="22"/>
          <w:szCs w:val="22"/>
          <w:lang w:eastAsia="en-US"/>
        </w:rPr>
        <w:t>Ministarstvo znanosti, obrazovanja i sporta te Ministarstvo socijalne politike i mladih odgovorni su za sekundarne kontrole rada Agencije koje uključuju kontrolu sustava provedbe programa Erasmus+, kontrolu kvalitete izvješća vanjske revizorske kuće, kontrolu godišnjeg izvješća Agencije te napretka u realizaciji aktivnosti iz godišnjeg programa rada. Nadležna minis</w:t>
      </w:r>
      <w:r w:rsidR="0027181E">
        <w:rPr>
          <w:rFonts w:ascii="Arial" w:eastAsiaTheme="minorHAnsi" w:hAnsi="Arial" w:cs="Arial"/>
          <w:color w:val="auto"/>
          <w:sz w:val="22"/>
          <w:szCs w:val="22"/>
          <w:lang w:eastAsia="en-US"/>
        </w:rPr>
        <w:t xml:space="preserve">tarstva dužna su svake godine </w:t>
      </w:r>
      <w:r w:rsidRPr="00E85451">
        <w:rPr>
          <w:rFonts w:ascii="Arial" w:eastAsiaTheme="minorHAnsi" w:hAnsi="Arial" w:cs="Arial"/>
          <w:color w:val="auto"/>
          <w:sz w:val="22"/>
          <w:szCs w:val="22"/>
          <w:lang w:eastAsia="en-US"/>
        </w:rPr>
        <w:t>do 31. listopada predati Europskoj komisiji izvješće o svojim nadzornim aktivnostima kojim se jamči da Agencija upravlja programom Erasmus+ sukladno važećim pravilima Unije.</w:t>
      </w:r>
    </w:p>
    <w:p w:rsidR="00C5512F" w:rsidRPr="00E85451" w:rsidRDefault="00042914" w:rsidP="00DC317F">
      <w:pPr>
        <w:widowControl/>
        <w:spacing w:after="200" w:line="276" w:lineRule="auto"/>
        <w:jc w:val="both"/>
        <w:rPr>
          <w:rFonts w:ascii="Arial" w:hAnsi="Arial" w:cs="Arial"/>
          <w:color w:val="auto"/>
          <w:sz w:val="22"/>
          <w:szCs w:val="22"/>
          <w:lang w:eastAsia="en-US"/>
        </w:rPr>
      </w:pPr>
      <w:r w:rsidRPr="00E85451">
        <w:rPr>
          <w:rFonts w:ascii="Arial" w:eastAsiaTheme="minorHAnsi" w:hAnsi="Arial" w:cs="Arial"/>
          <w:color w:val="auto"/>
          <w:sz w:val="22"/>
          <w:szCs w:val="22"/>
          <w:lang w:eastAsia="en-US"/>
        </w:rPr>
        <w:t xml:space="preserve">Europska komisija nadzire i procjenjuje nacionalni integrirani sustav kontrole kroz ocjenu godišnjih Deklaracija o jamstvu te </w:t>
      </w:r>
      <w:r w:rsidR="0027181E">
        <w:rPr>
          <w:rFonts w:ascii="Arial" w:eastAsiaTheme="minorHAnsi" w:hAnsi="Arial" w:cs="Arial"/>
          <w:color w:val="auto"/>
          <w:sz w:val="22"/>
          <w:szCs w:val="22"/>
          <w:lang w:eastAsia="en-US"/>
        </w:rPr>
        <w:t>godišnjeg izvješća Ministarstva</w:t>
      </w:r>
      <w:r w:rsidRPr="00E85451">
        <w:rPr>
          <w:rFonts w:ascii="Arial" w:eastAsiaTheme="minorHAnsi" w:hAnsi="Arial" w:cs="Arial"/>
          <w:color w:val="auto"/>
          <w:sz w:val="22"/>
          <w:szCs w:val="22"/>
          <w:lang w:eastAsia="en-US"/>
        </w:rPr>
        <w:t xml:space="preserve"> znanosti obrazovanja i sporta te Ministarstva socijalne politike i mladih. Europska komisija zadržava pravo provjere i revizije Agencije i njenih korisnika u svakome trenutku. Nadalje, Europski revizorski sud i Europski antikorupcijski ured imaju pravo izvršiti provjere i kontrole korisnika Agencije, Agencije i njenih nadzornih tijela.</w:t>
      </w:r>
    </w:p>
    <w:p w:rsidR="0027181E" w:rsidRPr="00E85451" w:rsidRDefault="0027181E" w:rsidP="0027181E">
      <w:pPr>
        <w:widowControl/>
        <w:overflowPunct w:val="0"/>
        <w:autoSpaceDE w:val="0"/>
        <w:autoSpaceDN w:val="0"/>
        <w:adjustRightInd w:val="0"/>
        <w:ind w:right="-108"/>
        <w:jc w:val="both"/>
        <w:textAlignment w:val="baseline"/>
        <w:rPr>
          <w:rFonts w:ascii="Arial" w:hAnsi="Arial" w:cs="Arial"/>
          <w:color w:val="auto"/>
          <w:sz w:val="22"/>
          <w:szCs w:val="22"/>
          <w:lang w:eastAsia="en-US"/>
        </w:rPr>
      </w:pPr>
      <w:r>
        <w:rPr>
          <w:rFonts w:ascii="Arial" w:hAnsi="Arial" w:cs="Arial"/>
          <w:color w:val="auto"/>
          <w:sz w:val="22"/>
          <w:szCs w:val="22"/>
          <w:lang w:eastAsia="en-US"/>
        </w:rPr>
        <w:t xml:space="preserve">Vezano uz proces unutarnje revizije, tijekom 2014. provedene su sljedeće revizije: </w:t>
      </w:r>
      <w:r w:rsidRPr="00E85451">
        <w:rPr>
          <w:rFonts w:ascii="Arial" w:hAnsi="Arial" w:cs="Arial"/>
          <w:color w:val="auto"/>
          <w:sz w:val="22"/>
          <w:szCs w:val="22"/>
          <w:lang w:eastAsia="en-US"/>
        </w:rPr>
        <w:t>upravljanje dokumentacijom: primi</w:t>
      </w:r>
      <w:r>
        <w:rPr>
          <w:rFonts w:ascii="Arial" w:hAnsi="Arial" w:cs="Arial"/>
          <w:color w:val="auto"/>
          <w:sz w:val="22"/>
          <w:szCs w:val="22"/>
          <w:lang w:eastAsia="en-US"/>
        </w:rPr>
        <w:t>tak i distribucija ulazne pošte;</w:t>
      </w:r>
      <w:r w:rsidRPr="00E85451">
        <w:rPr>
          <w:rFonts w:ascii="Arial" w:hAnsi="Arial" w:cs="Arial"/>
          <w:color w:val="auto"/>
          <w:sz w:val="22"/>
          <w:szCs w:val="22"/>
          <w:lang w:eastAsia="en-US"/>
        </w:rPr>
        <w:t xml:space="preserve"> provedba bilateralnih mobilnosti: financijsko upravljanje projektima, provedba programa Erasmus+: ocjenjivanje, odabir i ugovaranje projekata.</w:t>
      </w:r>
    </w:p>
    <w:p w:rsidR="00C5512F" w:rsidRPr="00E85451" w:rsidRDefault="00C5512F" w:rsidP="00C5512F">
      <w:pPr>
        <w:widowControl/>
        <w:rPr>
          <w:rFonts w:ascii="Arial" w:hAnsi="Arial" w:cs="Arial"/>
          <w:color w:val="auto"/>
          <w:sz w:val="22"/>
          <w:szCs w:val="22"/>
          <w:lang w:eastAsia="en-US"/>
        </w:rPr>
      </w:pPr>
    </w:p>
    <w:p w:rsidR="00C5512F" w:rsidRPr="00E85451" w:rsidRDefault="00C5512F" w:rsidP="00C5512F">
      <w:pPr>
        <w:widowControl/>
        <w:rPr>
          <w:rFonts w:ascii="Arial" w:hAnsi="Arial" w:cs="Arial"/>
          <w:color w:val="auto"/>
          <w:sz w:val="22"/>
          <w:szCs w:val="22"/>
          <w:lang w:eastAsia="en-US"/>
        </w:rPr>
      </w:pPr>
    </w:p>
    <w:p w:rsidR="00C5512F" w:rsidRPr="00E85451" w:rsidRDefault="00C5512F" w:rsidP="00C5512F">
      <w:pPr>
        <w:widowControl/>
        <w:rPr>
          <w:rFonts w:ascii="Arial" w:hAnsi="Arial" w:cs="Arial"/>
          <w:color w:val="auto"/>
          <w:sz w:val="22"/>
          <w:szCs w:val="22"/>
          <w:lang w:eastAsia="en-US"/>
        </w:rPr>
      </w:pPr>
    </w:p>
    <w:p w:rsidR="00C5512F" w:rsidRPr="00E85451" w:rsidRDefault="00C5512F" w:rsidP="00C5512F">
      <w:pPr>
        <w:widowControl/>
        <w:jc w:val="both"/>
        <w:rPr>
          <w:rFonts w:ascii="Arial" w:hAnsi="Arial" w:cs="Arial"/>
          <w:color w:val="auto"/>
          <w:sz w:val="22"/>
          <w:szCs w:val="22"/>
          <w:lang w:eastAsia="en-US"/>
        </w:rPr>
      </w:pPr>
    </w:p>
    <w:p w:rsidR="00C5512F" w:rsidRPr="00E85451" w:rsidRDefault="00C5512F" w:rsidP="00C5512F">
      <w:pPr>
        <w:widowControl/>
        <w:jc w:val="both"/>
        <w:rPr>
          <w:rFonts w:ascii="Arial" w:hAnsi="Arial" w:cs="Arial"/>
          <w:color w:val="auto"/>
          <w:sz w:val="22"/>
          <w:szCs w:val="22"/>
        </w:rPr>
      </w:pPr>
      <w:r w:rsidRPr="00E85451">
        <w:rPr>
          <w:rFonts w:ascii="Arial" w:hAnsi="Arial" w:cs="Arial"/>
          <w:color w:val="auto"/>
          <w:sz w:val="22"/>
          <w:szCs w:val="22"/>
        </w:rPr>
        <w:lastRenderedPageBreak/>
        <w:t xml:space="preserve">Unutarnji revizor također </w:t>
      </w:r>
      <w:r w:rsidR="0027181E">
        <w:rPr>
          <w:rFonts w:ascii="Arial" w:hAnsi="Arial" w:cs="Arial"/>
          <w:color w:val="auto"/>
          <w:sz w:val="22"/>
          <w:szCs w:val="22"/>
        </w:rPr>
        <w:t>je</w:t>
      </w:r>
      <w:r w:rsidRPr="00E85451">
        <w:rPr>
          <w:rFonts w:ascii="Arial" w:hAnsi="Arial" w:cs="Arial"/>
          <w:color w:val="auto"/>
          <w:sz w:val="22"/>
          <w:szCs w:val="22"/>
        </w:rPr>
        <w:t xml:space="preserve"> i osoba koja osigurava kvalitetu procesa Agencije, te stoga uključen i u procese:</w:t>
      </w:r>
    </w:p>
    <w:p w:rsidR="00C5512F" w:rsidRPr="00E85451" w:rsidRDefault="00C5512F" w:rsidP="00C5512F">
      <w:pPr>
        <w:widowControl/>
        <w:jc w:val="both"/>
        <w:rPr>
          <w:rFonts w:ascii="Arial" w:hAnsi="Arial" w:cs="Arial"/>
          <w:color w:val="auto"/>
          <w:sz w:val="22"/>
          <w:szCs w:val="22"/>
          <w:lang w:eastAsia="en-US"/>
        </w:rPr>
      </w:pPr>
    </w:p>
    <w:p w:rsidR="00C5512F" w:rsidRPr="00E85451" w:rsidRDefault="00C5512F" w:rsidP="00C5512F">
      <w:pPr>
        <w:widowControl/>
        <w:jc w:val="both"/>
        <w:rPr>
          <w:rFonts w:ascii="Arial" w:hAnsi="Arial" w:cs="Arial"/>
          <w:color w:val="auto"/>
          <w:sz w:val="22"/>
          <w:szCs w:val="22"/>
        </w:rPr>
      </w:pPr>
      <w:r w:rsidRPr="00E85451">
        <w:rPr>
          <w:rFonts w:ascii="Arial" w:hAnsi="Arial" w:cs="Arial"/>
          <w:color w:val="auto"/>
          <w:sz w:val="22"/>
          <w:szCs w:val="22"/>
        </w:rPr>
        <w:t>- Ažuriranje programa osiguranja kvalitete i poboljšanja rada unutarnje revizije</w:t>
      </w:r>
    </w:p>
    <w:p w:rsidR="00C5512F" w:rsidRPr="00E85451" w:rsidRDefault="00C5512F" w:rsidP="00C5512F">
      <w:pPr>
        <w:widowControl/>
        <w:jc w:val="both"/>
        <w:rPr>
          <w:rFonts w:ascii="Arial" w:hAnsi="Arial" w:cs="Arial"/>
          <w:color w:val="auto"/>
          <w:sz w:val="22"/>
          <w:szCs w:val="22"/>
        </w:rPr>
      </w:pPr>
      <w:r w:rsidRPr="00E85451">
        <w:rPr>
          <w:rFonts w:ascii="Arial" w:hAnsi="Arial" w:cs="Arial"/>
          <w:color w:val="auto"/>
          <w:sz w:val="22"/>
          <w:szCs w:val="22"/>
        </w:rPr>
        <w:t>- Sudjelovanje u uvođenju sustava upravljanja dokumentima</w:t>
      </w:r>
    </w:p>
    <w:p w:rsidR="00C5512F" w:rsidRPr="00E85451" w:rsidRDefault="00C5512F" w:rsidP="00C5512F">
      <w:pPr>
        <w:widowControl/>
        <w:jc w:val="both"/>
        <w:rPr>
          <w:rFonts w:ascii="Arial" w:hAnsi="Arial" w:cs="Arial"/>
          <w:color w:val="auto"/>
          <w:sz w:val="22"/>
          <w:szCs w:val="22"/>
        </w:rPr>
      </w:pPr>
      <w:r w:rsidRPr="00E85451">
        <w:rPr>
          <w:rFonts w:ascii="Arial" w:hAnsi="Arial" w:cs="Arial"/>
          <w:color w:val="auto"/>
          <w:sz w:val="22"/>
          <w:szCs w:val="22"/>
        </w:rPr>
        <w:t>- Sudjelovanje u unaprjeđenju korištenja informatičkih sustava</w:t>
      </w:r>
    </w:p>
    <w:p w:rsidR="00C5512F" w:rsidRPr="00E85451" w:rsidRDefault="00C5512F" w:rsidP="00C5512F">
      <w:pPr>
        <w:widowControl/>
        <w:jc w:val="both"/>
        <w:rPr>
          <w:rFonts w:ascii="Arial" w:hAnsi="Arial" w:cs="Arial"/>
          <w:color w:val="auto"/>
          <w:sz w:val="22"/>
          <w:szCs w:val="22"/>
        </w:rPr>
      </w:pPr>
      <w:r w:rsidRPr="00E85451">
        <w:rPr>
          <w:rFonts w:ascii="Arial" w:hAnsi="Arial" w:cs="Arial"/>
          <w:color w:val="auto"/>
          <w:sz w:val="22"/>
          <w:szCs w:val="22"/>
        </w:rPr>
        <w:t>- Sudjelovanje u pripremi sustava za nove programe.</w:t>
      </w:r>
    </w:p>
    <w:p w:rsidR="00C5512F" w:rsidRPr="00E85451" w:rsidRDefault="00C5512F" w:rsidP="00042914">
      <w:pPr>
        <w:widowControl/>
        <w:spacing w:after="200" w:line="276" w:lineRule="auto"/>
        <w:jc w:val="both"/>
        <w:rPr>
          <w:rFonts w:ascii="Arial" w:eastAsiaTheme="minorHAnsi" w:hAnsi="Arial" w:cs="Arial"/>
          <w:color w:val="auto"/>
          <w:sz w:val="22"/>
          <w:szCs w:val="22"/>
          <w:lang w:eastAsia="en-US"/>
        </w:rPr>
      </w:pPr>
    </w:p>
    <w:p w:rsidR="00702C04" w:rsidRDefault="00702C04">
      <w:pPr>
        <w:rPr>
          <w:rFonts w:ascii="Arial" w:hAnsi="Arial" w:cs="Arial"/>
          <w:color w:val="auto"/>
          <w:sz w:val="22"/>
          <w:szCs w:val="22"/>
        </w:rPr>
      </w:pPr>
      <w:r>
        <w:rPr>
          <w:rFonts w:ascii="Arial" w:hAnsi="Arial" w:cs="Arial"/>
          <w:color w:val="auto"/>
          <w:sz w:val="22"/>
          <w:szCs w:val="22"/>
        </w:rPr>
        <w:br w:type="page"/>
      </w:r>
    </w:p>
    <w:p w:rsidR="006E64A4" w:rsidRPr="00E85451" w:rsidRDefault="006E64A4" w:rsidP="00C5512F">
      <w:pPr>
        <w:jc w:val="both"/>
        <w:rPr>
          <w:rFonts w:ascii="Arial" w:hAnsi="Arial" w:cs="Arial"/>
          <w:color w:val="auto"/>
          <w:sz w:val="22"/>
          <w:szCs w:val="22"/>
        </w:rPr>
      </w:pPr>
    </w:p>
    <w:p w:rsidR="00904207" w:rsidRPr="000F3158" w:rsidRDefault="00B97010" w:rsidP="00860FAB">
      <w:pPr>
        <w:pStyle w:val="Heading1"/>
        <w:numPr>
          <w:ilvl w:val="0"/>
          <w:numId w:val="27"/>
        </w:numPr>
        <w:rPr>
          <w:rFonts w:ascii="Arial" w:hAnsi="Arial" w:cs="Arial"/>
          <w:color w:val="auto"/>
          <w:sz w:val="28"/>
          <w:szCs w:val="28"/>
        </w:rPr>
      </w:pPr>
      <w:bookmarkStart w:id="31" w:name="h.2jxsxqh" w:colFirst="0" w:colLast="0"/>
      <w:bookmarkStart w:id="32" w:name="h.z337ya" w:colFirst="0" w:colLast="0"/>
      <w:bookmarkStart w:id="33" w:name="_Toc419192164"/>
      <w:bookmarkEnd w:id="31"/>
      <w:bookmarkEnd w:id="32"/>
      <w:r w:rsidRPr="000F3158">
        <w:rPr>
          <w:rFonts w:ascii="Arial" w:hAnsi="Arial" w:cs="Arial"/>
          <w:color w:val="auto"/>
          <w:sz w:val="28"/>
          <w:szCs w:val="28"/>
        </w:rPr>
        <w:t>Organizacijske aktivnosti</w:t>
      </w:r>
      <w:bookmarkEnd w:id="33"/>
    </w:p>
    <w:p w:rsidR="00B97010" w:rsidRPr="00E85451" w:rsidRDefault="00B97010" w:rsidP="00B97010">
      <w:pPr>
        <w:rPr>
          <w:rFonts w:ascii="Arial" w:hAnsi="Arial" w:cs="Arial"/>
          <w:color w:val="auto"/>
          <w:sz w:val="22"/>
          <w:szCs w:val="22"/>
        </w:rPr>
      </w:pPr>
    </w:p>
    <w:p w:rsidR="000F5FBA" w:rsidRPr="000F3158" w:rsidRDefault="000F5FBA" w:rsidP="00860FAB">
      <w:pPr>
        <w:pStyle w:val="Heading2"/>
        <w:rPr>
          <w:rFonts w:ascii="Arial" w:hAnsi="Arial" w:cs="Arial"/>
          <w:color w:val="auto"/>
          <w:sz w:val="24"/>
          <w:szCs w:val="24"/>
        </w:rPr>
      </w:pPr>
      <w:bookmarkStart w:id="34" w:name="_Toc419192165"/>
      <w:r w:rsidRPr="000F3158">
        <w:rPr>
          <w:rFonts w:ascii="Arial" w:hAnsi="Arial" w:cs="Arial"/>
          <w:color w:val="auto"/>
          <w:sz w:val="24"/>
          <w:szCs w:val="24"/>
        </w:rPr>
        <w:t>5.1. Upravljanje ljudskim potencijalima</w:t>
      </w:r>
      <w:bookmarkEnd w:id="34"/>
    </w:p>
    <w:p w:rsidR="000F5FBA" w:rsidRPr="00E85451" w:rsidRDefault="000F5FBA" w:rsidP="000F5FBA">
      <w:pPr>
        <w:jc w:val="both"/>
        <w:rPr>
          <w:rFonts w:ascii="Arial" w:hAnsi="Arial" w:cs="Arial"/>
          <w:color w:val="auto"/>
          <w:sz w:val="22"/>
          <w:szCs w:val="22"/>
        </w:rPr>
      </w:pPr>
    </w:p>
    <w:p w:rsidR="000F5FBA" w:rsidRPr="00E85451" w:rsidRDefault="000F5FBA" w:rsidP="000F5FBA">
      <w:pPr>
        <w:jc w:val="both"/>
        <w:rPr>
          <w:rFonts w:ascii="Arial" w:hAnsi="Arial" w:cs="Arial"/>
          <w:color w:val="auto"/>
          <w:sz w:val="22"/>
          <w:szCs w:val="22"/>
        </w:rPr>
      </w:pPr>
      <w:r w:rsidRPr="00E85451">
        <w:rPr>
          <w:rFonts w:ascii="Arial" w:hAnsi="Arial" w:cs="Arial"/>
          <w:color w:val="auto"/>
          <w:sz w:val="22"/>
          <w:szCs w:val="22"/>
        </w:rPr>
        <w:t xml:space="preserve">Agencija je osigurala financijska sredstva i dostatan broj djelatnika kako bi se osiguralo izvršavanje </w:t>
      </w:r>
      <w:r w:rsidR="00D53A02">
        <w:rPr>
          <w:rFonts w:ascii="Arial" w:hAnsi="Arial" w:cs="Arial"/>
          <w:color w:val="auto"/>
          <w:sz w:val="22"/>
          <w:szCs w:val="22"/>
        </w:rPr>
        <w:t>zadaća preuzetih novim programima</w:t>
      </w:r>
      <w:r w:rsidRPr="00E85451">
        <w:rPr>
          <w:rFonts w:ascii="Arial" w:hAnsi="Arial" w:cs="Arial"/>
          <w:color w:val="auto"/>
          <w:sz w:val="22"/>
          <w:szCs w:val="22"/>
        </w:rPr>
        <w:t xml:space="preserve"> Erasmus + </w:t>
      </w:r>
      <w:r w:rsidR="00D53A02">
        <w:rPr>
          <w:rFonts w:ascii="Arial" w:hAnsi="Arial" w:cs="Arial"/>
          <w:color w:val="auto"/>
          <w:sz w:val="22"/>
          <w:szCs w:val="22"/>
        </w:rPr>
        <w:t xml:space="preserve">i Obzor 2020. </w:t>
      </w:r>
      <w:r w:rsidRPr="00E85451">
        <w:rPr>
          <w:rFonts w:ascii="Arial" w:hAnsi="Arial" w:cs="Arial"/>
          <w:color w:val="auto"/>
          <w:sz w:val="22"/>
          <w:szCs w:val="22"/>
        </w:rPr>
        <w:t xml:space="preserve">poštujući pritom preporuke Komisije o potrebi osiguranja dovoljnog broja educiranih djelatnika. </w:t>
      </w:r>
    </w:p>
    <w:p w:rsidR="000F5FBA" w:rsidRPr="00E85451" w:rsidRDefault="000F5FBA" w:rsidP="000F5FBA">
      <w:pPr>
        <w:jc w:val="both"/>
        <w:rPr>
          <w:rFonts w:ascii="Arial" w:hAnsi="Arial" w:cs="Arial"/>
          <w:color w:val="auto"/>
          <w:sz w:val="22"/>
          <w:szCs w:val="22"/>
        </w:rPr>
      </w:pPr>
    </w:p>
    <w:p w:rsidR="000F5FBA" w:rsidRPr="00E85451" w:rsidRDefault="000F5FBA" w:rsidP="000F5FBA">
      <w:pPr>
        <w:jc w:val="both"/>
        <w:rPr>
          <w:rFonts w:ascii="Arial" w:hAnsi="Arial" w:cs="Arial"/>
          <w:color w:val="auto"/>
          <w:sz w:val="22"/>
          <w:szCs w:val="22"/>
        </w:rPr>
      </w:pPr>
      <w:r w:rsidRPr="00E85451">
        <w:rPr>
          <w:rFonts w:ascii="Arial" w:hAnsi="Arial" w:cs="Arial"/>
          <w:color w:val="auto"/>
          <w:sz w:val="22"/>
          <w:szCs w:val="22"/>
        </w:rPr>
        <w:t xml:space="preserve">Tijekom 2014. godine Agencija je sustavno provodila Plan razvoja djelatnika, pridržavajući se procesa uvođenja novih djelatnika u rad kroz sustav kontinuiranog praćenja i mentoriranja djelatnika, te vrednovanja njihova rada tijekom probnog roka. Agencija je ujedno provela i procjenu radnog opterećenja djelatnika te iskazala potreban broj djelatnika po odjelima i procesima. </w:t>
      </w:r>
    </w:p>
    <w:p w:rsidR="000F5FBA" w:rsidRPr="00E85451" w:rsidRDefault="000F5FBA" w:rsidP="000F5FBA">
      <w:pPr>
        <w:jc w:val="both"/>
        <w:rPr>
          <w:rFonts w:ascii="Arial" w:hAnsi="Arial" w:cs="Arial"/>
          <w:color w:val="auto"/>
          <w:sz w:val="22"/>
          <w:szCs w:val="22"/>
        </w:rPr>
      </w:pPr>
    </w:p>
    <w:p w:rsidR="000F5FBA" w:rsidRPr="00E85451" w:rsidRDefault="00D53A02" w:rsidP="000F5FBA">
      <w:pPr>
        <w:jc w:val="both"/>
        <w:rPr>
          <w:rFonts w:ascii="Arial" w:hAnsi="Arial" w:cs="Arial"/>
          <w:color w:val="auto"/>
          <w:sz w:val="22"/>
          <w:szCs w:val="22"/>
        </w:rPr>
      </w:pPr>
      <w:r>
        <w:rPr>
          <w:rFonts w:ascii="Arial" w:hAnsi="Arial" w:cs="Arial"/>
          <w:color w:val="auto"/>
          <w:sz w:val="22"/>
          <w:szCs w:val="22"/>
        </w:rPr>
        <w:t xml:space="preserve">Za obavljanje svih prethodno navedenih djelatnosti u Agenciji je predviđeno ukupno 98 radnih mjesta koja se popunjavaju sukladno poslovnim potrebama i raspoloživim financijskim sredstvima uz prethodnu suglasnost Ministarstva znanosti, obrazovanja i sporta. </w:t>
      </w:r>
      <w:r w:rsidR="000F5FBA" w:rsidRPr="00E85451">
        <w:rPr>
          <w:rFonts w:ascii="Arial" w:hAnsi="Arial" w:cs="Arial"/>
          <w:color w:val="auto"/>
          <w:sz w:val="22"/>
          <w:szCs w:val="22"/>
        </w:rPr>
        <w:t xml:space="preserve">Usporedbe radi, Agencija je na dan 31.12. 2013. godine zapošljavala ukupno 65 djelatnika (od čega je 8 djelatnika bilo zaposleno na određeno vrijeme radi zamjene za rodiljni/porodilji te povećanja opsega poslova). Na dan 31.12.2014. godine Agencija je imala ukupno 76 djelatnika (od čega 1 djelatnica koristi neplaćeni dopust od rujna 2014. u trajanju od godine dana za potrebe stručnog usavršavanja u inozemstvu, 1 djelatnica je koristila neplaćeni dopust za potrebe stručnog usavršavanja u inozemstvu u trajanju od 3 mjeseca, dok je ukupno 9 djelatnica koristilo neko od prava na rodiljni/roditeljski dopust. Za potrebe zamjena gore navedenih djelatnica zaposlena su 4 nova djelatnika na određeno vrijeme). </w:t>
      </w:r>
    </w:p>
    <w:p w:rsidR="000F5FBA" w:rsidRPr="00E85451" w:rsidRDefault="000F5FBA" w:rsidP="00B97010">
      <w:pPr>
        <w:rPr>
          <w:rFonts w:ascii="Arial" w:hAnsi="Arial" w:cs="Arial"/>
          <w:color w:val="auto"/>
          <w:sz w:val="22"/>
          <w:szCs w:val="22"/>
        </w:rPr>
      </w:pPr>
    </w:p>
    <w:p w:rsidR="000F5FBA" w:rsidRPr="00E85451" w:rsidRDefault="000F5FBA" w:rsidP="00B97010">
      <w:pPr>
        <w:rPr>
          <w:rFonts w:ascii="Arial" w:hAnsi="Arial" w:cs="Arial"/>
          <w:color w:val="auto"/>
          <w:sz w:val="22"/>
          <w:szCs w:val="22"/>
        </w:rPr>
      </w:pPr>
      <w:r w:rsidRPr="00E85451">
        <w:rPr>
          <w:rFonts w:ascii="Arial" w:hAnsi="Arial" w:cs="Arial"/>
          <w:noProof/>
          <w:color w:val="auto"/>
          <w:sz w:val="22"/>
          <w:szCs w:val="22"/>
        </w:rPr>
        <w:drawing>
          <wp:inline distT="0" distB="0" distL="0" distR="0" wp14:anchorId="4616252C" wp14:editId="5A9CF388">
            <wp:extent cx="5662930" cy="2354560"/>
            <wp:effectExtent l="0" t="0" r="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F5FBA" w:rsidRPr="00E85451" w:rsidRDefault="000F5FBA" w:rsidP="00B97010">
      <w:pPr>
        <w:rPr>
          <w:rFonts w:ascii="Arial" w:hAnsi="Arial" w:cs="Arial"/>
          <w:color w:val="auto"/>
          <w:sz w:val="22"/>
          <w:szCs w:val="22"/>
        </w:rPr>
      </w:pPr>
    </w:p>
    <w:p w:rsidR="000F5FBA" w:rsidRPr="00E85451" w:rsidRDefault="000F5FBA" w:rsidP="00B97010">
      <w:pPr>
        <w:rPr>
          <w:rFonts w:ascii="Arial" w:hAnsi="Arial" w:cs="Arial"/>
          <w:color w:val="auto"/>
          <w:sz w:val="22"/>
          <w:szCs w:val="22"/>
        </w:rPr>
      </w:pPr>
    </w:p>
    <w:p w:rsidR="000F5FBA" w:rsidRPr="00E85451" w:rsidRDefault="000F5FBA" w:rsidP="000F5FBA">
      <w:pPr>
        <w:jc w:val="both"/>
        <w:rPr>
          <w:rFonts w:ascii="Arial" w:hAnsi="Arial" w:cs="Arial"/>
          <w:color w:val="auto"/>
          <w:sz w:val="22"/>
          <w:szCs w:val="22"/>
        </w:rPr>
      </w:pPr>
      <w:r w:rsidRPr="00E85451">
        <w:rPr>
          <w:rFonts w:ascii="Arial" w:hAnsi="Arial" w:cs="Arial"/>
          <w:color w:val="auto"/>
          <w:sz w:val="22"/>
          <w:szCs w:val="22"/>
        </w:rPr>
        <w:t xml:space="preserve">U 2014. godini Agencija je provela 6 natječaja za zapošljavanje za ukupno 26 radnih mjesta </w:t>
      </w:r>
      <w:r w:rsidR="00C5512F" w:rsidRPr="00E85451">
        <w:rPr>
          <w:rFonts w:ascii="Arial" w:hAnsi="Arial" w:cs="Arial"/>
          <w:color w:val="auto"/>
          <w:sz w:val="22"/>
          <w:szCs w:val="22"/>
        </w:rPr>
        <w:t xml:space="preserve">te </w:t>
      </w:r>
      <w:r w:rsidR="00D53A02">
        <w:rPr>
          <w:rFonts w:ascii="Arial" w:hAnsi="Arial" w:cs="Arial"/>
          <w:color w:val="auto"/>
          <w:sz w:val="22"/>
          <w:szCs w:val="22"/>
        </w:rPr>
        <w:t>natječaj za izbor ravnatelja uslijed fluktuacije djelatnika, velikog broja djelatnica koje su koristile neko od prava na rodiljni/roditeljski dopust te zbog potrebe povećanog broja djelatnika uslijed povećanih programskih obveza.</w:t>
      </w:r>
      <w:r w:rsidR="00F75678">
        <w:rPr>
          <w:rFonts w:ascii="Arial" w:hAnsi="Arial" w:cs="Arial"/>
          <w:color w:val="auto"/>
          <w:sz w:val="22"/>
          <w:szCs w:val="22"/>
        </w:rPr>
        <w:t xml:space="preserve"> Rast broja djelatnika odražava prirodan tijek razvoja mlade institucije poput Agencije za mobilnost i programe EU čiji je programski portfelj od osnutka do 2014. u stalnom porastu.</w:t>
      </w:r>
    </w:p>
    <w:p w:rsidR="000F5FBA" w:rsidRPr="00E85451" w:rsidRDefault="000F5FBA" w:rsidP="000F5FBA">
      <w:pPr>
        <w:jc w:val="both"/>
        <w:rPr>
          <w:rFonts w:ascii="Arial" w:hAnsi="Arial" w:cs="Arial"/>
          <w:color w:val="auto"/>
          <w:sz w:val="22"/>
          <w:szCs w:val="22"/>
        </w:rPr>
      </w:pPr>
    </w:p>
    <w:p w:rsidR="000F5FBA" w:rsidRPr="00E85451" w:rsidRDefault="000F5FBA" w:rsidP="00B97010">
      <w:pPr>
        <w:rPr>
          <w:rFonts w:ascii="Arial" w:hAnsi="Arial" w:cs="Arial"/>
          <w:color w:val="auto"/>
          <w:sz w:val="22"/>
          <w:szCs w:val="22"/>
        </w:rPr>
      </w:pPr>
    </w:p>
    <w:p w:rsidR="000F5FBA" w:rsidRPr="00E85451" w:rsidRDefault="000F5FBA" w:rsidP="000F5FBA">
      <w:pPr>
        <w:ind w:left="-284"/>
        <w:jc w:val="both"/>
        <w:rPr>
          <w:rFonts w:ascii="Arial" w:hAnsi="Arial" w:cs="Arial"/>
          <w:color w:val="auto"/>
          <w:sz w:val="22"/>
          <w:szCs w:val="22"/>
        </w:rPr>
      </w:pPr>
      <w:r w:rsidRPr="00E85451">
        <w:rPr>
          <w:rFonts w:ascii="Arial" w:hAnsi="Arial" w:cs="Arial"/>
          <w:color w:val="auto"/>
          <w:sz w:val="22"/>
          <w:szCs w:val="22"/>
        </w:rPr>
        <w:t>U prosincu 2013. Agencija je uskladila Pravilnik o unutarnjem ustrojstvu i sistematizaciji radnih mjesta s Uredbom o nazivima i koeficijentima radnih mjesta (NN 25/13) te time omogućila tzv. EU koeficijente za djelatnike koje rade u odjelima koji upravljaju EU sredstvima (9 odjela od ukupno 17 ima EU koeficijent) što je u velikoj mjeri utjecalo na smanjenje fluktuacije djelatnika u 2014. godini.</w:t>
      </w:r>
    </w:p>
    <w:p w:rsidR="000F5FBA" w:rsidRPr="00E85451" w:rsidRDefault="000F5FBA" w:rsidP="000F5FBA">
      <w:pPr>
        <w:ind w:left="-284"/>
        <w:jc w:val="both"/>
        <w:rPr>
          <w:rFonts w:ascii="Arial" w:hAnsi="Arial" w:cs="Arial"/>
          <w:color w:val="auto"/>
          <w:sz w:val="22"/>
          <w:szCs w:val="22"/>
        </w:rPr>
      </w:pPr>
    </w:p>
    <w:p w:rsidR="000F5FBA" w:rsidRPr="00E85451" w:rsidRDefault="000F5FBA" w:rsidP="000F5FBA">
      <w:pPr>
        <w:ind w:left="-284"/>
        <w:jc w:val="both"/>
        <w:rPr>
          <w:rFonts w:ascii="Arial" w:hAnsi="Arial" w:cs="Arial"/>
          <w:color w:val="auto"/>
          <w:sz w:val="22"/>
          <w:szCs w:val="22"/>
        </w:rPr>
      </w:pPr>
      <w:r w:rsidRPr="00E85451">
        <w:rPr>
          <w:rFonts w:ascii="Arial" w:hAnsi="Arial" w:cs="Arial"/>
          <w:color w:val="auto"/>
          <w:sz w:val="22"/>
          <w:szCs w:val="22"/>
        </w:rPr>
        <w:t>Agencija oduvijek kao svoj prioritet prepoznaje i ulaganje u ljudske potencijale, jer samo sustavnim i kontinuiranim ulaganjem u svoje djelatnike razina kvalitete pružene usluge može se konstantno povećavati, rezultirajući tako pozitivnom povratnom informacijom korisničke strukture ali i zadovoljstvom samih djelatnika Agencije i nadležnih ministarstava.</w:t>
      </w:r>
    </w:p>
    <w:p w:rsidR="000F5FBA" w:rsidRPr="00E85451" w:rsidRDefault="000F5FBA" w:rsidP="000F5FBA">
      <w:pPr>
        <w:ind w:left="-284"/>
        <w:jc w:val="both"/>
        <w:rPr>
          <w:rFonts w:ascii="Arial" w:hAnsi="Arial" w:cs="Arial"/>
          <w:color w:val="auto"/>
          <w:sz w:val="22"/>
          <w:szCs w:val="22"/>
        </w:rPr>
      </w:pPr>
    </w:p>
    <w:p w:rsidR="000F5FBA" w:rsidRPr="00E85451" w:rsidRDefault="000F5FBA" w:rsidP="000F5FBA">
      <w:pPr>
        <w:ind w:left="-284"/>
        <w:jc w:val="both"/>
        <w:rPr>
          <w:rFonts w:ascii="Arial" w:hAnsi="Arial" w:cs="Arial"/>
          <w:color w:val="auto"/>
          <w:sz w:val="22"/>
          <w:szCs w:val="22"/>
        </w:rPr>
      </w:pPr>
      <w:r w:rsidRPr="00E85451">
        <w:rPr>
          <w:rFonts w:ascii="Arial" w:hAnsi="Arial" w:cs="Arial"/>
          <w:color w:val="auto"/>
          <w:sz w:val="22"/>
          <w:szCs w:val="22"/>
        </w:rPr>
        <w:t>Slijedom gore navedenog, Agencija je početkom 2014. provela godišnju evaluaciju rada djelatnika, analizirala ocjene rukovoditelja od strane podređenih te utvrdila potrebna osposobljavanja i usavršavanja za svakog pojedinog djelatnika kroz Godišnji plan stručnih osposobljavanja i usavršavanja djelatnika</w:t>
      </w:r>
      <w:r w:rsidRPr="00E85451">
        <w:rPr>
          <w:rFonts w:ascii="Arial" w:hAnsi="Arial" w:cs="Arial"/>
          <w:b/>
          <w:color w:val="auto"/>
          <w:sz w:val="22"/>
          <w:szCs w:val="22"/>
        </w:rPr>
        <w:t xml:space="preserve"> </w:t>
      </w:r>
      <w:r w:rsidRPr="00E85451">
        <w:rPr>
          <w:rFonts w:ascii="Arial" w:hAnsi="Arial" w:cs="Arial"/>
          <w:color w:val="auto"/>
          <w:sz w:val="22"/>
          <w:szCs w:val="22"/>
        </w:rPr>
        <w:t xml:space="preserve">za 2014. godinu koji je u većoj mjeri i izvršen. </w:t>
      </w:r>
    </w:p>
    <w:p w:rsidR="000F5FBA" w:rsidRPr="00E85451" w:rsidRDefault="000F5FBA" w:rsidP="000F5FBA">
      <w:pPr>
        <w:ind w:left="-284"/>
        <w:jc w:val="both"/>
        <w:rPr>
          <w:rFonts w:ascii="Arial" w:hAnsi="Arial" w:cs="Arial"/>
          <w:color w:val="auto"/>
          <w:sz w:val="22"/>
          <w:szCs w:val="22"/>
        </w:rPr>
      </w:pPr>
    </w:p>
    <w:p w:rsidR="000F5FBA" w:rsidRPr="00E85451" w:rsidRDefault="000F5FBA" w:rsidP="000F5FBA">
      <w:pPr>
        <w:autoSpaceDE w:val="0"/>
        <w:autoSpaceDN w:val="0"/>
        <w:adjustRightInd w:val="0"/>
        <w:ind w:left="-284"/>
        <w:jc w:val="both"/>
        <w:rPr>
          <w:rFonts w:ascii="Arial" w:hAnsi="Arial" w:cs="Arial"/>
          <w:color w:val="auto"/>
          <w:sz w:val="22"/>
          <w:szCs w:val="22"/>
        </w:rPr>
      </w:pPr>
      <w:r w:rsidRPr="00E85451">
        <w:rPr>
          <w:rFonts w:ascii="Arial" w:hAnsi="Arial" w:cs="Arial"/>
          <w:color w:val="auto"/>
          <w:sz w:val="22"/>
          <w:szCs w:val="22"/>
        </w:rPr>
        <w:t xml:space="preserve">Djelatnici Agencije su pohađali brojna stručna osposobljavanja i usavršavanja, kako u zemlji tako i u inozemstvu, te su prisustvovali brojnim sastancima i treninzima organiziranim od strane EK i drugih nacionalnih agencija tijekom cijele godine s ciljem osnaživanja znanja u pogledu programskih pravila i procedura, nadzora i potpore u provedbi programa, IT alatima, razmjeni praksi, stručnih znanja i vještina neophodnih za podizanje stručnih znanja i kompetencija. </w:t>
      </w:r>
    </w:p>
    <w:p w:rsidR="000F5FBA" w:rsidRPr="00E85451" w:rsidRDefault="000F5FBA" w:rsidP="00B97010">
      <w:pPr>
        <w:rPr>
          <w:rFonts w:ascii="Arial" w:hAnsi="Arial" w:cs="Arial"/>
          <w:color w:val="auto"/>
          <w:sz w:val="22"/>
          <w:szCs w:val="22"/>
        </w:rPr>
      </w:pPr>
    </w:p>
    <w:p w:rsidR="000F5FBA" w:rsidRPr="00E85451" w:rsidRDefault="000F5FBA" w:rsidP="000F5FBA">
      <w:pPr>
        <w:autoSpaceDE w:val="0"/>
        <w:autoSpaceDN w:val="0"/>
        <w:adjustRightInd w:val="0"/>
        <w:ind w:left="-284"/>
        <w:jc w:val="both"/>
        <w:rPr>
          <w:rFonts w:ascii="Arial" w:hAnsi="Arial" w:cs="Arial"/>
          <w:color w:val="auto"/>
          <w:sz w:val="22"/>
          <w:szCs w:val="22"/>
        </w:rPr>
      </w:pPr>
      <w:r w:rsidRPr="00E85451">
        <w:rPr>
          <w:rFonts w:ascii="Arial" w:hAnsi="Arial" w:cs="Arial"/>
          <w:color w:val="auto"/>
          <w:sz w:val="22"/>
          <w:szCs w:val="22"/>
        </w:rPr>
        <w:t>Neki od pohađanih programa osposobljavanja i usavršavanja u 2014. godini:</w:t>
      </w:r>
    </w:p>
    <w:p w:rsidR="000F5FBA" w:rsidRPr="00E85451" w:rsidRDefault="000F5FBA" w:rsidP="000F5FBA">
      <w:pPr>
        <w:autoSpaceDE w:val="0"/>
        <w:autoSpaceDN w:val="0"/>
        <w:adjustRightInd w:val="0"/>
        <w:ind w:left="-284"/>
        <w:jc w:val="both"/>
        <w:rPr>
          <w:rFonts w:ascii="Arial" w:hAnsi="Arial" w:cs="Arial"/>
          <w:color w:val="auto"/>
          <w:sz w:val="22"/>
          <w:szCs w:val="22"/>
        </w:rPr>
      </w:pPr>
    </w:p>
    <w:tbl>
      <w:tblPr>
        <w:tblW w:w="10095" w:type="dxa"/>
        <w:tblInd w:w="-773" w:type="dxa"/>
        <w:tblLayout w:type="fixed"/>
        <w:tblLook w:val="04A0" w:firstRow="1" w:lastRow="0" w:firstColumn="1" w:lastColumn="0" w:noHBand="0" w:noVBand="1"/>
      </w:tblPr>
      <w:tblGrid>
        <w:gridCol w:w="3149"/>
        <w:gridCol w:w="1276"/>
        <w:gridCol w:w="5670"/>
      </w:tblGrid>
      <w:tr w:rsidR="00E85451" w:rsidRPr="00E85451" w:rsidTr="007E4E76">
        <w:trPr>
          <w:trHeight w:val="645"/>
        </w:trPr>
        <w:tc>
          <w:tcPr>
            <w:tcW w:w="3149" w:type="dxa"/>
            <w:tcBorders>
              <w:top w:val="single" w:sz="8" w:space="0" w:color="000000"/>
              <w:left w:val="single" w:sz="8" w:space="0" w:color="000000"/>
              <w:bottom w:val="single" w:sz="4" w:space="0" w:color="auto"/>
              <w:right w:val="single" w:sz="4" w:space="0" w:color="auto"/>
            </w:tcBorders>
            <w:shd w:val="clear" w:color="000000" w:fill="D9D9D9"/>
            <w:vAlign w:val="center"/>
            <w:hideMark/>
          </w:tcPr>
          <w:p w:rsidR="000F5FBA" w:rsidRPr="00E85451" w:rsidRDefault="000F5FBA" w:rsidP="000F5FBA">
            <w:pPr>
              <w:widowControl/>
              <w:jc w:val="center"/>
              <w:rPr>
                <w:rFonts w:ascii="Arial" w:hAnsi="Arial" w:cs="Arial"/>
                <w:b/>
                <w:bCs/>
                <w:color w:val="auto"/>
                <w:sz w:val="22"/>
                <w:szCs w:val="22"/>
              </w:rPr>
            </w:pPr>
            <w:r w:rsidRPr="00E85451">
              <w:rPr>
                <w:rFonts w:ascii="Arial" w:hAnsi="Arial" w:cs="Arial"/>
                <w:b/>
                <w:bCs/>
                <w:color w:val="auto"/>
                <w:sz w:val="22"/>
                <w:szCs w:val="22"/>
                <w:lang w:val="en-US"/>
              </w:rPr>
              <w:t>Programi osposobljavanja i usavršavanja</w:t>
            </w:r>
          </w:p>
        </w:tc>
        <w:tc>
          <w:tcPr>
            <w:tcW w:w="1276" w:type="dxa"/>
            <w:tcBorders>
              <w:top w:val="single" w:sz="8" w:space="0" w:color="000000"/>
              <w:left w:val="nil"/>
              <w:bottom w:val="single" w:sz="4" w:space="0" w:color="auto"/>
              <w:right w:val="single" w:sz="4" w:space="0" w:color="auto"/>
            </w:tcBorders>
            <w:shd w:val="clear" w:color="000000" w:fill="D9D9D9"/>
            <w:vAlign w:val="center"/>
            <w:hideMark/>
          </w:tcPr>
          <w:p w:rsidR="000F5FBA" w:rsidRPr="00E85451" w:rsidRDefault="000F5FBA" w:rsidP="000F5FBA">
            <w:pPr>
              <w:widowControl/>
              <w:jc w:val="center"/>
              <w:rPr>
                <w:rFonts w:ascii="Arial" w:hAnsi="Arial" w:cs="Arial"/>
                <w:b/>
                <w:bCs/>
                <w:color w:val="auto"/>
                <w:sz w:val="22"/>
                <w:szCs w:val="22"/>
              </w:rPr>
            </w:pPr>
            <w:r w:rsidRPr="00E85451">
              <w:rPr>
                <w:rFonts w:ascii="Arial" w:hAnsi="Arial" w:cs="Arial"/>
                <w:b/>
                <w:bCs/>
                <w:color w:val="auto"/>
                <w:sz w:val="22"/>
                <w:szCs w:val="22"/>
                <w:lang w:val="en-US"/>
              </w:rPr>
              <w:t>Broj djelatnika</w:t>
            </w:r>
          </w:p>
        </w:tc>
        <w:tc>
          <w:tcPr>
            <w:tcW w:w="5670" w:type="dxa"/>
            <w:tcBorders>
              <w:top w:val="single" w:sz="8" w:space="0" w:color="000000"/>
              <w:left w:val="nil"/>
              <w:bottom w:val="nil"/>
              <w:right w:val="single" w:sz="8" w:space="0" w:color="000000"/>
            </w:tcBorders>
            <w:shd w:val="clear" w:color="000000" w:fill="D9D9D9"/>
            <w:vAlign w:val="center"/>
            <w:hideMark/>
          </w:tcPr>
          <w:p w:rsidR="000F5FBA" w:rsidRPr="00E85451" w:rsidRDefault="000F5FBA" w:rsidP="000F5FBA">
            <w:pPr>
              <w:widowControl/>
              <w:jc w:val="center"/>
              <w:rPr>
                <w:rFonts w:ascii="Arial" w:hAnsi="Arial" w:cs="Arial"/>
                <w:b/>
                <w:bCs/>
                <w:color w:val="auto"/>
                <w:sz w:val="22"/>
                <w:szCs w:val="22"/>
              </w:rPr>
            </w:pPr>
            <w:r w:rsidRPr="00E85451">
              <w:rPr>
                <w:rFonts w:ascii="Arial" w:hAnsi="Arial" w:cs="Arial"/>
                <w:b/>
                <w:bCs/>
                <w:color w:val="auto"/>
                <w:sz w:val="22"/>
                <w:szCs w:val="22"/>
                <w:lang w:val="en-US"/>
              </w:rPr>
              <w:t xml:space="preserve">Datum  </w:t>
            </w:r>
          </w:p>
        </w:tc>
      </w:tr>
      <w:tr w:rsidR="00E85451" w:rsidRPr="00E85451" w:rsidTr="007E4E76">
        <w:trPr>
          <w:trHeight w:val="1140"/>
        </w:trPr>
        <w:tc>
          <w:tcPr>
            <w:tcW w:w="3149" w:type="dxa"/>
            <w:tcBorders>
              <w:top w:val="nil"/>
              <w:left w:val="single" w:sz="8" w:space="0" w:color="000000"/>
              <w:bottom w:val="single" w:sz="4" w:space="0" w:color="auto"/>
              <w:right w:val="single" w:sz="4" w:space="0" w:color="auto"/>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rPr>
              <w:t>Job shadowing za Erasmus+ djelatnike: upravljanje i implementacija pojedinih dijelovi projektnog ciklusa – razmjena dobre prakse</w:t>
            </w:r>
          </w:p>
        </w:tc>
        <w:tc>
          <w:tcPr>
            <w:tcW w:w="1276" w:type="dxa"/>
            <w:tcBorders>
              <w:top w:val="nil"/>
              <w:left w:val="nil"/>
              <w:bottom w:val="single" w:sz="4" w:space="0" w:color="auto"/>
              <w:right w:val="nil"/>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5</w:t>
            </w:r>
          </w:p>
        </w:tc>
        <w:tc>
          <w:tcPr>
            <w:tcW w:w="5670" w:type="dxa"/>
            <w:tcBorders>
              <w:top w:val="single" w:sz="4" w:space="0" w:color="000000"/>
              <w:left w:val="single" w:sz="4" w:space="0" w:color="000000"/>
              <w:bottom w:val="single" w:sz="4" w:space="0" w:color="000000"/>
              <w:right w:val="single" w:sz="8" w:space="0" w:color="000000"/>
            </w:tcBorders>
            <w:shd w:val="clear" w:color="000000" w:fill="FFFFFF"/>
            <w:vAlign w:val="center"/>
            <w:hideMark/>
          </w:tcPr>
          <w:p w:rsidR="000F5FBA" w:rsidRPr="00E85451" w:rsidRDefault="000F5FBA" w:rsidP="000F5FBA">
            <w:pPr>
              <w:widowControl/>
              <w:jc w:val="center"/>
              <w:rPr>
                <w:rFonts w:ascii="Arial" w:hAnsi="Arial" w:cs="Arial"/>
                <w:i/>
                <w:iCs/>
                <w:color w:val="auto"/>
                <w:sz w:val="22"/>
                <w:szCs w:val="22"/>
              </w:rPr>
            </w:pPr>
            <w:r w:rsidRPr="00E85451">
              <w:rPr>
                <w:rFonts w:ascii="Arial" w:hAnsi="Arial" w:cs="Arial"/>
                <w:i/>
                <w:iCs/>
                <w:color w:val="auto"/>
                <w:sz w:val="22"/>
                <w:szCs w:val="22"/>
                <w:lang w:val="en-US"/>
              </w:rPr>
              <w:t>Job shadowing</w:t>
            </w:r>
            <w:r w:rsidRPr="00E85451">
              <w:rPr>
                <w:rFonts w:ascii="Arial" w:hAnsi="Arial" w:cs="Arial"/>
                <w:color w:val="auto"/>
                <w:sz w:val="22"/>
                <w:szCs w:val="22"/>
                <w:lang w:val="en-US"/>
              </w:rPr>
              <w:t xml:space="preserve"> - ELL Slovenia 07/02/2014</w:t>
            </w:r>
            <w:r w:rsidRPr="00E85451">
              <w:rPr>
                <w:rFonts w:ascii="Arial" w:hAnsi="Arial" w:cs="Arial"/>
                <w:color w:val="auto"/>
                <w:sz w:val="22"/>
                <w:szCs w:val="22"/>
                <w:lang w:val="en-US"/>
              </w:rPr>
              <w:br/>
              <w:t>Job shadowing – Mađarska 26/10/2014 – 28/10/2014</w:t>
            </w:r>
            <w:r w:rsidRPr="00E85451">
              <w:rPr>
                <w:rFonts w:ascii="Arial" w:hAnsi="Arial" w:cs="Arial"/>
                <w:color w:val="auto"/>
                <w:sz w:val="22"/>
                <w:szCs w:val="22"/>
                <w:lang w:val="en-US"/>
              </w:rPr>
              <w:br/>
              <w:t>Job shadowing - TOI 26/10/2014 – 28/10/2014/, Švedska  - 2 djelatnika</w:t>
            </w:r>
            <w:r w:rsidRPr="00E85451">
              <w:rPr>
                <w:rFonts w:ascii="Arial" w:hAnsi="Arial" w:cs="Arial"/>
                <w:color w:val="auto"/>
                <w:sz w:val="22"/>
                <w:szCs w:val="22"/>
                <w:lang w:val="en-US"/>
              </w:rPr>
              <w:br/>
              <w:t>Dualni  VET sistem – studijski posjet  Euroguidance  centru Austrija 29/10/2014</w:t>
            </w:r>
          </w:p>
        </w:tc>
      </w:tr>
      <w:tr w:rsidR="00E85451" w:rsidRPr="00E85451" w:rsidTr="007E4E76">
        <w:trPr>
          <w:trHeight w:val="300"/>
        </w:trPr>
        <w:tc>
          <w:tcPr>
            <w:tcW w:w="3149" w:type="dxa"/>
            <w:vMerge w:val="restart"/>
            <w:tcBorders>
              <w:top w:val="nil"/>
              <w:left w:val="single" w:sz="8" w:space="0" w:color="000000"/>
              <w:bottom w:val="single" w:sz="4" w:space="0" w:color="auto"/>
              <w:right w:val="single" w:sz="4" w:space="0" w:color="auto"/>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Sastanci/treninzi za djelatnike koji se bave sektorom mladih</w:t>
            </w:r>
          </w:p>
        </w:tc>
        <w:tc>
          <w:tcPr>
            <w:tcW w:w="1276" w:type="dxa"/>
            <w:vMerge w:val="restart"/>
            <w:tcBorders>
              <w:top w:val="nil"/>
              <w:left w:val="single" w:sz="4" w:space="0" w:color="auto"/>
              <w:bottom w:val="single" w:sz="4" w:space="0" w:color="auto"/>
              <w:right w:val="nil"/>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8</w:t>
            </w:r>
          </w:p>
        </w:tc>
        <w:tc>
          <w:tcPr>
            <w:tcW w:w="5670" w:type="dxa"/>
            <w:tcBorders>
              <w:top w:val="nil"/>
              <w:left w:val="single" w:sz="4" w:space="0" w:color="000000"/>
              <w:bottom w:val="nil"/>
              <w:right w:val="single" w:sz="8" w:space="0" w:color="000000"/>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EUROMED radna skupina - EVS akreditacija, 29/1/2014-31/01/2014, Belgija</w:t>
            </w:r>
          </w:p>
        </w:tc>
      </w:tr>
      <w:tr w:rsidR="00E85451" w:rsidRPr="00E85451" w:rsidTr="007E4E76">
        <w:trPr>
          <w:trHeight w:val="300"/>
        </w:trPr>
        <w:tc>
          <w:tcPr>
            <w:tcW w:w="3149" w:type="dxa"/>
            <w:vMerge/>
            <w:tcBorders>
              <w:top w:val="nil"/>
              <w:left w:val="single" w:sz="8" w:space="0" w:color="000000"/>
              <w:bottom w:val="single" w:sz="4" w:space="0" w:color="auto"/>
              <w:right w:val="single" w:sz="4" w:space="0" w:color="auto"/>
            </w:tcBorders>
            <w:vAlign w:val="center"/>
            <w:hideMark/>
          </w:tcPr>
          <w:p w:rsidR="000F5FBA" w:rsidRPr="00E85451" w:rsidRDefault="000F5FBA" w:rsidP="000F5FBA">
            <w:pPr>
              <w:widowControl/>
              <w:jc w:val="center"/>
              <w:rPr>
                <w:rFonts w:ascii="Arial" w:hAnsi="Arial" w:cs="Arial"/>
                <w:color w:val="auto"/>
                <w:sz w:val="22"/>
                <w:szCs w:val="22"/>
              </w:rPr>
            </w:pPr>
          </w:p>
        </w:tc>
        <w:tc>
          <w:tcPr>
            <w:tcW w:w="1276" w:type="dxa"/>
            <w:vMerge/>
            <w:tcBorders>
              <w:top w:val="nil"/>
              <w:left w:val="single" w:sz="4" w:space="0" w:color="auto"/>
              <w:bottom w:val="single" w:sz="4" w:space="0" w:color="auto"/>
              <w:right w:val="nil"/>
            </w:tcBorders>
            <w:vAlign w:val="center"/>
            <w:hideMark/>
          </w:tcPr>
          <w:p w:rsidR="000F5FBA" w:rsidRPr="00E85451" w:rsidRDefault="000F5FBA" w:rsidP="000F5FBA">
            <w:pPr>
              <w:widowControl/>
              <w:rPr>
                <w:rFonts w:ascii="Arial" w:hAnsi="Arial" w:cs="Arial"/>
                <w:color w:val="auto"/>
                <w:sz w:val="22"/>
                <w:szCs w:val="22"/>
              </w:rPr>
            </w:pPr>
          </w:p>
        </w:tc>
        <w:tc>
          <w:tcPr>
            <w:tcW w:w="5670" w:type="dxa"/>
            <w:tcBorders>
              <w:top w:val="nil"/>
              <w:left w:val="single" w:sz="4" w:space="0" w:color="000000"/>
              <w:bottom w:val="nil"/>
              <w:right w:val="single" w:sz="8" w:space="0" w:color="000000"/>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Youth pass kontakt osobe - sastanak, 27/5/2014-28/05/2014, Njemačka</w:t>
            </w:r>
          </w:p>
        </w:tc>
      </w:tr>
      <w:tr w:rsidR="00E85451" w:rsidRPr="00E85451" w:rsidTr="007E4E76">
        <w:trPr>
          <w:trHeight w:val="300"/>
        </w:trPr>
        <w:tc>
          <w:tcPr>
            <w:tcW w:w="3149" w:type="dxa"/>
            <w:vMerge/>
            <w:tcBorders>
              <w:top w:val="nil"/>
              <w:left w:val="single" w:sz="8" w:space="0" w:color="000000"/>
              <w:bottom w:val="single" w:sz="4" w:space="0" w:color="auto"/>
              <w:right w:val="single" w:sz="4" w:space="0" w:color="auto"/>
            </w:tcBorders>
            <w:vAlign w:val="center"/>
            <w:hideMark/>
          </w:tcPr>
          <w:p w:rsidR="000F5FBA" w:rsidRPr="00E85451" w:rsidRDefault="000F5FBA" w:rsidP="000F5FBA">
            <w:pPr>
              <w:widowControl/>
              <w:jc w:val="center"/>
              <w:rPr>
                <w:rFonts w:ascii="Arial" w:hAnsi="Arial" w:cs="Arial"/>
                <w:color w:val="auto"/>
                <w:sz w:val="22"/>
                <w:szCs w:val="22"/>
              </w:rPr>
            </w:pPr>
          </w:p>
        </w:tc>
        <w:tc>
          <w:tcPr>
            <w:tcW w:w="1276" w:type="dxa"/>
            <w:vMerge/>
            <w:tcBorders>
              <w:top w:val="nil"/>
              <w:left w:val="single" w:sz="4" w:space="0" w:color="auto"/>
              <w:bottom w:val="single" w:sz="4" w:space="0" w:color="auto"/>
              <w:right w:val="nil"/>
            </w:tcBorders>
            <w:vAlign w:val="center"/>
            <w:hideMark/>
          </w:tcPr>
          <w:p w:rsidR="000F5FBA" w:rsidRPr="00E85451" w:rsidRDefault="000F5FBA" w:rsidP="000F5FBA">
            <w:pPr>
              <w:widowControl/>
              <w:rPr>
                <w:rFonts w:ascii="Arial" w:hAnsi="Arial" w:cs="Arial"/>
                <w:color w:val="auto"/>
                <w:sz w:val="22"/>
                <w:szCs w:val="22"/>
              </w:rPr>
            </w:pPr>
          </w:p>
        </w:tc>
        <w:tc>
          <w:tcPr>
            <w:tcW w:w="5670" w:type="dxa"/>
            <w:tcBorders>
              <w:top w:val="nil"/>
              <w:left w:val="single" w:sz="4" w:space="0" w:color="000000"/>
              <w:bottom w:val="nil"/>
              <w:right w:val="single" w:sz="8" w:space="0" w:color="000000"/>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IOST (</w:t>
            </w:r>
            <w:r w:rsidRPr="00E85451">
              <w:rPr>
                <w:rFonts w:ascii="Arial" w:hAnsi="Arial" w:cs="Arial"/>
                <w:i/>
                <w:iCs/>
                <w:color w:val="auto"/>
                <w:sz w:val="22"/>
                <w:szCs w:val="22"/>
                <w:lang w:val="en-US"/>
              </w:rPr>
              <w:t>Information officer staff training</w:t>
            </w:r>
            <w:r w:rsidRPr="00E85451">
              <w:rPr>
                <w:rFonts w:ascii="Arial" w:hAnsi="Arial" w:cs="Arial"/>
                <w:color w:val="auto"/>
                <w:sz w:val="22"/>
                <w:szCs w:val="22"/>
                <w:lang w:val="en-US"/>
              </w:rPr>
              <w:t>) 11/6/2014-12/6/2014, Belgija</w:t>
            </w:r>
          </w:p>
        </w:tc>
      </w:tr>
      <w:tr w:rsidR="00E85451" w:rsidRPr="00E85451" w:rsidTr="007E4E76">
        <w:trPr>
          <w:trHeight w:val="300"/>
        </w:trPr>
        <w:tc>
          <w:tcPr>
            <w:tcW w:w="3149" w:type="dxa"/>
            <w:vMerge/>
            <w:tcBorders>
              <w:top w:val="nil"/>
              <w:left w:val="single" w:sz="8" w:space="0" w:color="000000"/>
              <w:bottom w:val="single" w:sz="4" w:space="0" w:color="auto"/>
              <w:right w:val="single" w:sz="4" w:space="0" w:color="auto"/>
            </w:tcBorders>
            <w:vAlign w:val="center"/>
            <w:hideMark/>
          </w:tcPr>
          <w:p w:rsidR="000F5FBA" w:rsidRPr="00E85451" w:rsidRDefault="000F5FBA" w:rsidP="000F5FBA">
            <w:pPr>
              <w:widowControl/>
              <w:jc w:val="center"/>
              <w:rPr>
                <w:rFonts w:ascii="Arial" w:hAnsi="Arial" w:cs="Arial"/>
                <w:color w:val="auto"/>
                <w:sz w:val="22"/>
                <w:szCs w:val="22"/>
              </w:rPr>
            </w:pPr>
          </w:p>
        </w:tc>
        <w:tc>
          <w:tcPr>
            <w:tcW w:w="1276" w:type="dxa"/>
            <w:vMerge/>
            <w:tcBorders>
              <w:top w:val="nil"/>
              <w:left w:val="single" w:sz="4" w:space="0" w:color="auto"/>
              <w:bottom w:val="single" w:sz="4" w:space="0" w:color="auto"/>
              <w:right w:val="nil"/>
            </w:tcBorders>
            <w:vAlign w:val="center"/>
            <w:hideMark/>
          </w:tcPr>
          <w:p w:rsidR="000F5FBA" w:rsidRPr="00E85451" w:rsidRDefault="000F5FBA" w:rsidP="000F5FBA">
            <w:pPr>
              <w:widowControl/>
              <w:rPr>
                <w:rFonts w:ascii="Arial" w:hAnsi="Arial" w:cs="Arial"/>
                <w:color w:val="auto"/>
                <w:sz w:val="22"/>
                <w:szCs w:val="22"/>
              </w:rPr>
            </w:pPr>
          </w:p>
        </w:tc>
        <w:tc>
          <w:tcPr>
            <w:tcW w:w="5670" w:type="dxa"/>
            <w:tcBorders>
              <w:top w:val="nil"/>
              <w:left w:val="single" w:sz="4" w:space="0" w:color="000000"/>
              <w:bottom w:val="nil"/>
              <w:right w:val="single" w:sz="8" w:space="0" w:color="000000"/>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TCA sastanak 16/6/2014-19/6/2014, Mađarska</w:t>
            </w:r>
          </w:p>
        </w:tc>
      </w:tr>
      <w:tr w:rsidR="00E85451" w:rsidRPr="00E85451" w:rsidTr="007E4E76">
        <w:trPr>
          <w:trHeight w:val="300"/>
        </w:trPr>
        <w:tc>
          <w:tcPr>
            <w:tcW w:w="3149" w:type="dxa"/>
            <w:vMerge/>
            <w:tcBorders>
              <w:top w:val="nil"/>
              <w:left w:val="single" w:sz="8" w:space="0" w:color="000000"/>
              <w:bottom w:val="single" w:sz="4" w:space="0" w:color="auto"/>
              <w:right w:val="single" w:sz="4" w:space="0" w:color="auto"/>
            </w:tcBorders>
            <w:vAlign w:val="center"/>
            <w:hideMark/>
          </w:tcPr>
          <w:p w:rsidR="000F5FBA" w:rsidRPr="00E85451" w:rsidRDefault="000F5FBA" w:rsidP="000F5FBA">
            <w:pPr>
              <w:widowControl/>
              <w:jc w:val="center"/>
              <w:rPr>
                <w:rFonts w:ascii="Arial" w:hAnsi="Arial" w:cs="Arial"/>
                <w:color w:val="auto"/>
                <w:sz w:val="22"/>
                <w:szCs w:val="22"/>
              </w:rPr>
            </w:pPr>
          </w:p>
        </w:tc>
        <w:tc>
          <w:tcPr>
            <w:tcW w:w="1276" w:type="dxa"/>
            <w:vMerge/>
            <w:tcBorders>
              <w:top w:val="nil"/>
              <w:left w:val="single" w:sz="4" w:space="0" w:color="auto"/>
              <w:bottom w:val="single" w:sz="4" w:space="0" w:color="auto"/>
              <w:right w:val="nil"/>
            </w:tcBorders>
            <w:vAlign w:val="center"/>
            <w:hideMark/>
          </w:tcPr>
          <w:p w:rsidR="000F5FBA" w:rsidRPr="00E85451" w:rsidRDefault="000F5FBA" w:rsidP="000F5FBA">
            <w:pPr>
              <w:widowControl/>
              <w:rPr>
                <w:rFonts w:ascii="Arial" w:hAnsi="Arial" w:cs="Arial"/>
                <w:color w:val="auto"/>
                <w:sz w:val="22"/>
                <w:szCs w:val="22"/>
              </w:rPr>
            </w:pPr>
          </w:p>
        </w:tc>
        <w:tc>
          <w:tcPr>
            <w:tcW w:w="5670" w:type="dxa"/>
            <w:tcBorders>
              <w:top w:val="nil"/>
              <w:left w:val="single" w:sz="4" w:space="0" w:color="000000"/>
              <w:bottom w:val="nil"/>
              <w:right w:val="single" w:sz="8" w:space="0" w:color="000000"/>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Sastanak  17/6/2014-19/6/2014, Grčka</w:t>
            </w:r>
          </w:p>
        </w:tc>
      </w:tr>
      <w:tr w:rsidR="00E85451" w:rsidRPr="00E85451" w:rsidTr="007E4E76">
        <w:trPr>
          <w:trHeight w:val="300"/>
        </w:trPr>
        <w:tc>
          <w:tcPr>
            <w:tcW w:w="3149" w:type="dxa"/>
            <w:vMerge/>
            <w:tcBorders>
              <w:top w:val="nil"/>
              <w:left w:val="single" w:sz="8" w:space="0" w:color="000000"/>
              <w:bottom w:val="single" w:sz="4" w:space="0" w:color="auto"/>
              <w:right w:val="single" w:sz="4" w:space="0" w:color="auto"/>
            </w:tcBorders>
            <w:vAlign w:val="center"/>
            <w:hideMark/>
          </w:tcPr>
          <w:p w:rsidR="000F5FBA" w:rsidRPr="00E85451" w:rsidRDefault="000F5FBA" w:rsidP="000F5FBA">
            <w:pPr>
              <w:widowControl/>
              <w:jc w:val="center"/>
              <w:rPr>
                <w:rFonts w:ascii="Arial" w:hAnsi="Arial" w:cs="Arial"/>
                <w:color w:val="auto"/>
                <w:sz w:val="22"/>
                <w:szCs w:val="22"/>
              </w:rPr>
            </w:pPr>
          </w:p>
        </w:tc>
        <w:tc>
          <w:tcPr>
            <w:tcW w:w="1276" w:type="dxa"/>
            <w:vMerge/>
            <w:tcBorders>
              <w:top w:val="nil"/>
              <w:left w:val="single" w:sz="4" w:space="0" w:color="auto"/>
              <w:bottom w:val="single" w:sz="4" w:space="0" w:color="auto"/>
              <w:right w:val="nil"/>
            </w:tcBorders>
            <w:vAlign w:val="center"/>
            <w:hideMark/>
          </w:tcPr>
          <w:p w:rsidR="000F5FBA" w:rsidRPr="00E85451" w:rsidRDefault="000F5FBA" w:rsidP="000F5FBA">
            <w:pPr>
              <w:widowControl/>
              <w:rPr>
                <w:rFonts w:ascii="Arial" w:hAnsi="Arial" w:cs="Arial"/>
                <w:color w:val="auto"/>
                <w:sz w:val="22"/>
                <w:szCs w:val="22"/>
              </w:rPr>
            </w:pPr>
          </w:p>
        </w:tc>
        <w:tc>
          <w:tcPr>
            <w:tcW w:w="5670" w:type="dxa"/>
            <w:tcBorders>
              <w:top w:val="nil"/>
              <w:left w:val="single" w:sz="4" w:space="0" w:color="000000"/>
              <w:bottom w:val="nil"/>
              <w:right w:val="single" w:sz="8" w:space="0" w:color="000000"/>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IOST (</w:t>
            </w:r>
            <w:r w:rsidRPr="00E85451">
              <w:rPr>
                <w:rFonts w:ascii="Arial" w:hAnsi="Arial" w:cs="Arial"/>
                <w:i/>
                <w:iCs/>
                <w:color w:val="auto"/>
                <w:sz w:val="22"/>
                <w:szCs w:val="22"/>
                <w:lang w:val="en-US"/>
              </w:rPr>
              <w:t>Information officer staff training</w:t>
            </w:r>
            <w:r w:rsidRPr="00E85451">
              <w:rPr>
                <w:rFonts w:ascii="Arial" w:hAnsi="Arial" w:cs="Arial"/>
                <w:color w:val="auto"/>
                <w:sz w:val="22"/>
                <w:szCs w:val="22"/>
                <w:lang w:val="en-US"/>
              </w:rPr>
              <w:t>) 22/10/2014-24/10/2014, Hrvatska</w:t>
            </w:r>
          </w:p>
        </w:tc>
      </w:tr>
      <w:tr w:rsidR="00E85451" w:rsidRPr="00E85451" w:rsidTr="007E4E76">
        <w:trPr>
          <w:trHeight w:val="300"/>
        </w:trPr>
        <w:tc>
          <w:tcPr>
            <w:tcW w:w="3149" w:type="dxa"/>
            <w:vMerge/>
            <w:tcBorders>
              <w:top w:val="nil"/>
              <w:left w:val="single" w:sz="8" w:space="0" w:color="000000"/>
              <w:bottom w:val="single" w:sz="4" w:space="0" w:color="auto"/>
              <w:right w:val="single" w:sz="4" w:space="0" w:color="auto"/>
            </w:tcBorders>
            <w:vAlign w:val="center"/>
            <w:hideMark/>
          </w:tcPr>
          <w:p w:rsidR="000F5FBA" w:rsidRPr="00E85451" w:rsidRDefault="000F5FBA" w:rsidP="000F5FBA">
            <w:pPr>
              <w:widowControl/>
              <w:jc w:val="center"/>
              <w:rPr>
                <w:rFonts w:ascii="Arial" w:hAnsi="Arial" w:cs="Arial"/>
                <w:color w:val="auto"/>
                <w:sz w:val="22"/>
                <w:szCs w:val="22"/>
              </w:rPr>
            </w:pPr>
          </w:p>
        </w:tc>
        <w:tc>
          <w:tcPr>
            <w:tcW w:w="1276" w:type="dxa"/>
            <w:vMerge/>
            <w:tcBorders>
              <w:top w:val="nil"/>
              <w:left w:val="single" w:sz="4" w:space="0" w:color="auto"/>
              <w:bottom w:val="single" w:sz="4" w:space="0" w:color="auto"/>
              <w:right w:val="nil"/>
            </w:tcBorders>
            <w:vAlign w:val="center"/>
            <w:hideMark/>
          </w:tcPr>
          <w:p w:rsidR="000F5FBA" w:rsidRPr="00E85451" w:rsidRDefault="000F5FBA" w:rsidP="000F5FBA">
            <w:pPr>
              <w:widowControl/>
              <w:rPr>
                <w:rFonts w:ascii="Arial" w:hAnsi="Arial" w:cs="Arial"/>
                <w:color w:val="auto"/>
                <w:sz w:val="22"/>
                <w:szCs w:val="22"/>
              </w:rPr>
            </w:pPr>
          </w:p>
        </w:tc>
        <w:tc>
          <w:tcPr>
            <w:tcW w:w="5670" w:type="dxa"/>
            <w:tcBorders>
              <w:top w:val="nil"/>
              <w:left w:val="single" w:sz="4" w:space="0" w:color="000000"/>
              <w:bottom w:val="nil"/>
              <w:right w:val="single" w:sz="8" w:space="0" w:color="000000"/>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Sastanak Nacionalnih agencija 15/10/2014-18/10/2014, Italija</w:t>
            </w:r>
          </w:p>
        </w:tc>
      </w:tr>
      <w:tr w:rsidR="00E85451" w:rsidRPr="00E85451" w:rsidTr="007E4E76">
        <w:trPr>
          <w:trHeight w:val="300"/>
        </w:trPr>
        <w:tc>
          <w:tcPr>
            <w:tcW w:w="3149" w:type="dxa"/>
            <w:vMerge/>
            <w:tcBorders>
              <w:top w:val="nil"/>
              <w:left w:val="single" w:sz="8" w:space="0" w:color="000000"/>
              <w:bottom w:val="single" w:sz="4" w:space="0" w:color="auto"/>
              <w:right w:val="single" w:sz="4" w:space="0" w:color="auto"/>
            </w:tcBorders>
            <w:vAlign w:val="center"/>
            <w:hideMark/>
          </w:tcPr>
          <w:p w:rsidR="000F5FBA" w:rsidRPr="00E85451" w:rsidRDefault="000F5FBA" w:rsidP="000F5FBA">
            <w:pPr>
              <w:widowControl/>
              <w:jc w:val="center"/>
              <w:rPr>
                <w:rFonts w:ascii="Arial" w:hAnsi="Arial" w:cs="Arial"/>
                <w:color w:val="auto"/>
                <w:sz w:val="22"/>
                <w:szCs w:val="22"/>
              </w:rPr>
            </w:pPr>
          </w:p>
        </w:tc>
        <w:tc>
          <w:tcPr>
            <w:tcW w:w="1276" w:type="dxa"/>
            <w:vMerge/>
            <w:tcBorders>
              <w:top w:val="nil"/>
              <w:left w:val="single" w:sz="4" w:space="0" w:color="auto"/>
              <w:bottom w:val="single" w:sz="4" w:space="0" w:color="auto"/>
              <w:right w:val="nil"/>
            </w:tcBorders>
            <w:vAlign w:val="center"/>
            <w:hideMark/>
          </w:tcPr>
          <w:p w:rsidR="000F5FBA" w:rsidRPr="00E85451" w:rsidRDefault="000F5FBA" w:rsidP="000F5FBA">
            <w:pPr>
              <w:widowControl/>
              <w:rPr>
                <w:rFonts w:ascii="Arial" w:hAnsi="Arial" w:cs="Arial"/>
                <w:color w:val="auto"/>
                <w:sz w:val="22"/>
                <w:szCs w:val="22"/>
              </w:rPr>
            </w:pPr>
          </w:p>
        </w:tc>
        <w:tc>
          <w:tcPr>
            <w:tcW w:w="5670" w:type="dxa"/>
            <w:tcBorders>
              <w:top w:val="nil"/>
              <w:left w:val="single" w:sz="4" w:space="0" w:color="000000"/>
              <w:bottom w:val="single" w:sz="4" w:space="0" w:color="000000"/>
              <w:right w:val="single" w:sz="8" w:space="0" w:color="000000"/>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 xml:space="preserve">Sastanak – </w:t>
            </w:r>
            <w:r w:rsidRPr="00E85451">
              <w:rPr>
                <w:rFonts w:ascii="Arial" w:hAnsi="Arial" w:cs="Arial"/>
                <w:i/>
                <w:iCs/>
                <w:color w:val="auto"/>
                <w:sz w:val="22"/>
                <w:szCs w:val="22"/>
                <w:lang w:val="en-US"/>
              </w:rPr>
              <w:t>research based analysis meeting</w:t>
            </w:r>
            <w:r w:rsidRPr="00E85451">
              <w:rPr>
                <w:rFonts w:ascii="Arial" w:hAnsi="Arial" w:cs="Arial"/>
                <w:color w:val="auto"/>
                <w:sz w:val="22"/>
                <w:szCs w:val="22"/>
                <w:lang w:val="en-US"/>
              </w:rPr>
              <w:t>, Portugal,  22/10/2014-26/10/2014</w:t>
            </w:r>
          </w:p>
        </w:tc>
      </w:tr>
      <w:tr w:rsidR="00E85451" w:rsidRPr="00E85451" w:rsidTr="007E4E76">
        <w:trPr>
          <w:trHeight w:val="855"/>
        </w:trPr>
        <w:tc>
          <w:tcPr>
            <w:tcW w:w="3149" w:type="dxa"/>
            <w:tcBorders>
              <w:top w:val="nil"/>
              <w:left w:val="single" w:sz="8" w:space="0" w:color="000000"/>
              <w:bottom w:val="single" w:sz="4" w:space="0" w:color="auto"/>
              <w:right w:val="single" w:sz="4" w:space="0" w:color="auto"/>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rPr>
              <w:t>Međusektorski treninzi s ciljem unapređenja suradnje između formalnog i neformalnog učenja</w:t>
            </w:r>
          </w:p>
        </w:tc>
        <w:tc>
          <w:tcPr>
            <w:tcW w:w="1276" w:type="dxa"/>
            <w:tcBorders>
              <w:top w:val="nil"/>
              <w:left w:val="nil"/>
              <w:bottom w:val="single" w:sz="4" w:space="0" w:color="auto"/>
              <w:right w:val="single" w:sz="4" w:space="0" w:color="auto"/>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36</w:t>
            </w:r>
          </w:p>
        </w:tc>
        <w:tc>
          <w:tcPr>
            <w:tcW w:w="5670" w:type="dxa"/>
            <w:tcBorders>
              <w:top w:val="nil"/>
              <w:left w:val="nil"/>
              <w:bottom w:val="nil"/>
              <w:right w:val="single" w:sz="8" w:space="0" w:color="000000"/>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TCA trening za sve E+ djelatnike 6/10/2014</w:t>
            </w:r>
          </w:p>
        </w:tc>
      </w:tr>
      <w:tr w:rsidR="00E85451" w:rsidRPr="00E85451" w:rsidTr="007E4E76">
        <w:trPr>
          <w:trHeight w:val="1140"/>
        </w:trPr>
        <w:tc>
          <w:tcPr>
            <w:tcW w:w="3149" w:type="dxa"/>
            <w:vMerge w:val="restart"/>
            <w:tcBorders>
              <w:top w:val="nil"/>
              <w:left w:val="single" w:sz="8" w:space="0" w:color="000000"/>
              <w:bottom w:val="single" w:sz="8" w:space="0" w:color="000000"/>
              <w:right w:val="single" w:sz="4" w:space="0" w:color="auto"/>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rPr>
              <w:lastRenderedPageBreak/>
              <w:t xml:space="preserve">Ostala osposobljavanja i usavršavanja temeljem identificiranih potreba </w:t>
            </w:r>
            <w:r w:rsidR="00C5512F" w:rsidRPr="00E85451">
              <w:rPr>
                <w:rFonts w:ascii="Arial" w:hAnsi="Arial" w:cs="Arial"/>
                <w:color w:val="auto"/>
                <w:sz w:val="22"/>
                <w:szCs w:val="22"/>
              </w:rPr>
              <w:t>i</w:t>
            </w:r>
            <w:r w:rsidRPr="00E85451">
              <w:rPr>
                <w:rFonts w:ascii="Arial" w:hAnsi="Arial" w:cs="Arial"/>
                <w:color w:val="auto"/>
                <w:sz w:val="22"/>
                <w:szCs w:val="22"/>
              </w:rPr>
              <w:t xml:space="preserve"> odobrenog Godišnjeg plana osposobljavanja I usavršavanja</w:t>
            </w:r>
          </w:p>
        </w:tc>
        <w:tc>
          <w:tcPr>
            <w:tcW w:w="1276" w:type="dxa"/>
            <w:vMerge w:val="restart"/>
            <w:tcBorders>
              <w:top w:val="nil"/>
              <w:left w:val="single" w:sz="4" w:space="0" w:color="auto"/>
              <w:bottom w:val="single" w:sz="8" w:space="0" w:color="000000"/>
              <w:right w:val="nil"/>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svi djelatnici</w:t>
            </w:r>
          </w:p>
        </w:tc>
        <w:tc>
          <w:tcPr>
            <w:tcW w:w="5670" w:type="dxa"/>
            <w:tcBorders>
              <w:top w:val="single" w:sz="4" w:space="0" w:color="000000"/>
              <w:left w:val="single" w:sz="4" w:space="0" w:color="000000"/>
              <w:bottom w:val="nil"/>
              <w:right w:val="single" w:sz="8" w:space="0" w:color="000000"/>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rPr>
              <w:t xml:space="preserve"> 8 internih edukacija vezanih uz Erasmus + procedure, Programski vodi</w:t>
            </w:r>
            <w:r w:rsidR="00C5512F" w:rsidRPr="00E85451">
              <w:rPr>
                <w:rFonts w:ascii="Arial" w:hAnsi="Arial" w:cs="Arial"/>
                <w:color w:val="auto"/>
                <w:sz w:val="22"/>
                <w:szCs w:val="22"/>
              </w:rPr>
              <w:t>č</w:t>
            </w:r>
            <w:r w:rsidRPr="00E85451">
              <w:rPr>
                <w:rFonts w:ascii="Arial" w:hAnsi="Arial" w:cs="Arial"/>
                <w:color w:val="auto"/>
                <w:sz w:val="22"/>
                <w:szCs w:val="22"/>
              </w:rPr>
              <w:t>, kvalitetu prijava, validaciju organizacija, financijska pravila, MT + trening, Eplus Link trening, opće i pravne procedure – 51 djelatnik u prosjeku prisustvovao na 3 interne edukacije u ovisnosti s opisom posla i potrebama radnog mjesta</w:t>
            </w:r>
          </w:p>
        </w:tc>
      </w:tr>
      <w:tr w:rsidR="00E85451" w:rsidRPr="00E85451" w:rsidTr="007E4E76">
        <w:trPr>
          <w:trHeight w:val="300"/>
        </w:trPr>
        <w:tc>
          <w:tcPr>
            <w:tcW w:w="3149" w:type="dxa"/>
            <w:vMerge/>
            <w:tcBorders>
              <w:top w:val="nil"/>
              <w:left w:val="single" w:sz="8" w:space="0" w:color="000000"/>
              <w:bottom w:val="single" w:sz="8" w:space="0" w:color="000000"/>
              <w:right w:val="single" w:sz="4" w:space="0" w:color="auto"/>
            </w:tcBorders>
            <w:vAlign w:val="center"/>
            <w:hideMark/>
          </w:tcPr>
          <w:p w:rsidR="000F5FBA" w:rsidRPr="00E85451" w:rsidRDefault="000F5FBA" w:rsidP="000F5FBA">
            <w:pPr>
              <w:widowControl/>
              <w:rPr>
                <w:rFonts w:ascii="Arial" w:hAnsi="Arial" w:cs="Arial"/>
                <w:color w:val="auto"/>
                <w:sz w:val="22"/>
                <w:szCs w:val="22"/>
              </w:rPr>
            </w:pPr>
          </w:p>
        </w:tc>
        <w:tc>
          <w:tcPr>
            <w:tcW w:w="1276" w:type="dxa"/>
            <w:vMerge/>
            <w:tcBorders>
              <w:top w:val="nil"/>
              <w:left w:val="single" w:sz="4" w:space="0" w:color="auto"/>
              <w:bottom w:val="single" w:sz="8" w:space="0" w:color="000000"/>
              <w:right w:val="nil"/>
            </w:tcBorders>
            <w:vAlign w:val="center"/>
            <w:hideMark/>
          </w:tcPr>
          <w:p w:rsidR="000F5FBA" w:rsidRPr="00E85451" w:rsidRDefault="000F5FBA" w:rsidP="000F5FBA">
            <w:pPr>
              <w:widowControl/>
              <w:rPr>
                <w:rFonts w:ascii="Arial" w:hAnsi="Arial" w:cs="Arial"/>
                <w:color w:val="auto"/>
                <w:sz w:val="22"/>
                <w:szCs w:val="22"/>
              </w:rPr>
            </w:pPr>
          </w:p>
        </w:tc>
        <w:tc>
          <w:tcPr>
            <w:tcW w:w="5670" w:type="dxa"/>
            <w:tcBorders>
              <w:top w:val="nil"/>
              <w:left w:val="single" w:sz="4" w:space="0" w:color="000000"/>
              <w:bottom w:val="nil"/>
              <w:right w:val="single" w:sz="8" w:space="0" w:color="000000"/>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seminari na tematiku EU i Nacionalnih politika  - 5 djelatnika</w:t>
            </w:r>
          </w:p>
        </w:tc>
      </w:tr>
      <w:tr w:rsidR="00E85451" w:rsidRPr="00E85451" w:rsidTr="007E4E76">
        <w:trPr>
          <w:trHeight w:val="1710"/>
        </w:trPr>
        <w:tc>
          <w:tcPr>
            <w:tcW w:w="3149" w:type="dxa"/>
            <w:vMerge/>
            <w:tcBorders>
              <w:top w:val="nil"/>
              <w:left w:val="single" w:sz="8" w:space="0" w:color="000000"/>
              <w:bottom w:val="single" w:sz="8" w:space="0" w:color="000000"/>
              <w:right w:val="single" w:sz="4" w:space="0" w:color="auto"/>
            </w:tcBorders>
            <w:vAlign w:val="center"/>
            <w:hideMark/>
          </w:tcPr>
          <w:p w:rsidR="000F5FBA" w:rsidRPr="00E85451" w:rsidRDefault="000F5FBA" w:rsidP="000F5FBA">
            <w:pPr>
              <w:widowControl/>
              <w:rPr>
                <w:rFonts w:ascii="Arial" w:hAnsi="Arial" w:cs="Arial"/>
                <w:color w:val="auto"/>
                <w:sz w:val="22"/>
                <w:szCs w:val="22"/>
              </w:rPr>
            </w:pPr>
          </w:p>
        </w:tc>
        <w:tc>
          <w:tcPr>
            <w:tcW w:w="1276" w:type="dxa"/>
            <w:vMerge/>
            <w:tcBorders>
              <w:top w:val="nil"/>
              <w:left w:val="single" w:sz="4" w:space="0" w:color="auto"/>
              <w:bottom w:val="single" w:sz="8" w:space="0" w:color="000000"/>
              <w:right w:val="nil"/>
            </w:tcBorders>
            <w:vAlign w:val="center"/>
            <w:hideMark/>
          </w:tcPr>
          <w:p w:rsidR="000F5FBA" w:rsidRPr="00E85451" w:rsidRDefault="000F5FBA" w:rsidP="000F5FBA">
            <w:pPr>
              <w:widowControl/>
              <w:rPr>
                <w:rFonts w:ascii="Arial" w:hAnsi="Arial" w:cs="Arial"/>
                <w:color w:val="auto"/>
                <w:sz w:val="22"/>
                <w:szCs w:val="22"/>
              </w:rPr>
            </w:pPr>
          </w:p>
        </w:tc>
        <w:tc>
          <w:tcPr>
            <w:tcW w:w="5670" w:type="dxa"/>
            <w:tcBorders>
              <w:top w:val="nil"/>
              <w:left w:val="single" w:sz="4" w:space="0" w:color="000000"/>
              <w:bottom w:val="nil"/>
              <w:right w:val="single" w:sz="8" w:space="0" w:color="000000"/>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rPr>
              <w:t xml:space="preserve"> radionice i edukacije vezane uz djelokrug rada djelatnika: radno pravo, pravo na pristup informacijama, pravna terminologija u EU, upravljanje nepravilnostima, fiskalna odgovornost, edukacije iz područja računovodstva i financija (plaće  i oporezivanje, centralni obračun plaća, službena putovanja, JOPPD obrazac, financijsko  upravljanje i praćenje projekata,  proračunsko računovodstvo)  - 16 djelatnika pohađalo neke od gore navedenih edukacija u ovisnosti s opisom posla i potrebama radnog mjesta</w:t>
            </w:r>
          </w:p>
        </w:tc>
      </w:tr>
      <w:tr w:rsidR="00E85451" w:rsidRPr="00E85451" w:rsidTr="007E4E76">
        <w:trPr>
          <w:trHeight w:val="300"/>
        </w:trPr>
        <w:tc>
          <w:tcPr>
            <w:tcW w:w="3149" w:type="dxa"/>
            <w:vMerge/>
            <w:tcBorders>
              <w:top w:val="nil"/>
              <w:left w:val="single" w:sz="8" w:space="0" w:color="000000"/>
              <w:bottom w:val="single" w:sz="8" w:space="0" w:color="000000"/>
              <w:right w:val="single" w:sz="4" w:space="0" w:color="auto"/>
            </w:tcBorders>
            <w:vAlign w:val="center"/>
            <w:hideMark/>
          </w:tcPr>
          <w:p w:rsidR="000F5FBA" w:rsidRPr="00E85451" w:rsidRDefault="000F5FBA" w:rsidP="000F5FBA">
            <w:pPr>
              <w:widowControl/>
              <w:rPr>
                <w:rFonts w:ascii="Arial" w:hAnsi="Arial" w:cs="Arial"/>
                <w:color w:val="auto"/>
                <w:sz w:val="22"/>
                <w:szCs w:val="22"/>
              </w:rPr>
            </w:pPr>
          </w:p>
        </w:tc>
        <w:tc>
          <w:tcPr>
            <w:tcW w:w="1276" w:type="dxa"/>
            <w:vMerge/>
            <w:tcBorders>
              <w:top w:val="nil"/>
              <w:left w:val="single" w:sz="4" w:space="0" w:color="auto"/>
              <w:bottom w:val="single" w:sz="8" w:space="0" w:color="000000"/>
              <w:right w:val="nil"/>
            </w:tcBorders>
            <w:vAlign w:val="center"/>
            <w:hideMark/>
          </w:tcPr>
          <w:p w:rsidR="000F5FBA" w:rsidRPr="00E85451" w:rsidRDefault="000F5FBA" w:rsidP="000F5FBA">
            <w:pPr>
              <w:widowControl/>
              <w:rPr>
                <w:rFonts w:ascii="Arial" w:hAnsi="Arial" w:cs="Arial"/>
                <w:color w:val="auto"/>
                <w:sz w:val="22"/>
                <w:szCs w:val="22"/>
              </w:rPr>
            </w:pPr>
          </w:p>
        </w:tc>
        <w:tc>
          <w:tcPr>
            <w:tcW w:w="5670" w:type="dxa"/>
            <w:tcBorders>
              <w:top w:val="nil"/>
              <w:left w:val="single" w:sz="4" w:space="0" w:color="000000"/>
              <w:bottom w:val="nil"/>
              <w:right w:val="single" w:sz="8" w:space="0" w:color="000000"/>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priprema virtualnog predavanja – webinari – 1 djelatnik</w:t>
            </w:r>
          </w:p>
        </w:tc>
      </w:tr>
      <w:tr w:rsidR="00E85451" w:rsidRPr="00E85451" w:rsidTr="007E4E76">
        <w:trPr>
          <w:trHeight w:val="300"/>
        </w:trPr>
        <w:tc>
          <w:tcPr>
            <w:tcW w:w="3149" w:type="dxa"/>
            <w:vMerge/>
            <w:tcBorders>
              <w:top w:val="nil"/>
              <w:left w:val="single" w:sz="8" w:space="0" w:color="000000"/>
              <w:bottom w:val="single" w:sz="8" w:space="0" w:color="000000"/>
              <w:right w:val="single" w:sz="4" w:space="0" w:color="auto"/>
            </w:tcBorders>
            <w:vAlign w:val="center"/>
            <w:hideMark/>
          </w:tcPr>
          <w:p w:rsidR="000F5FBA" w:rsidRPr="00E85451" w:rsidRDefault="000F5FBA" w:rsidP="000F5FBA">
            <w:pPr>
              <w:widowControl/>
              <w:rPr>
                <w:rFonts w:ascii="Arial" w:hAnsi="Arial" w:cs="Arial"/>
                <w:color w:val="auto"/>
                <w:sz w:val="22"/>
                <w:szCs w:val="22"/>
              </w:rPr>
            </w:pPr>
          </w:p>
        </w:tc>
        <w:tc>
          <w:tcPr>
            <w:tcW w:w="1276" w:type="dxa"/>
            <w:vMerge/>
            <w:tcBorders>
              <w:top w:val="nil"/>
              <w:left w:val="single" w:sz="4" w:space="0" w:color="auto"/>
              <w:bottom w:val="single" w:sz="8" w:space="0" w:color="000000"/>
              <w:right w:val="nil"/>
            </w:tcBorders>
            <w:vAlign w:val="center"/>
            <w:hideMark/>
          </w:tcPr>
          <w:p w:rsidR="000F5FBA" w:rsidRPr="00E85451" w:rsidRDefault="000F5FBA" w:rsidP="000F5FBA">
            <w:pPr>
              <w:widowControl/>
              <w:rPr>
                <w:rFonts w:ascii="Arial" w:hAnsi="Arial" w:cs="Arial"/>
                <w:color w:val="auto"/>
                <w:sz w:val="22"/>
                <w:szCs w:val="22"/>
              </w:rPr>
            </w:pPr>
          </w:p>
        </w:tc>
        <w:tc>
          <w:tcPr>
            <w:tcW w:w="5670" w:type="dxa"/>
            <w:tcBorders>
              <w:top w:val="nil"/>
              <w:left w:val="single" w:sz="4" w:space="0" w:color="000000"/>
              <w:bottom w:val="nil"/>
              <w:right w:val="single" w:sz="8" w:space="0" w:color="000000"/>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 xml:space="preserve">tečaj naprednog excela  - 24 djelatnika </w:t>
            </w:r>
          </w:p>
        </w:tc>
      </w:tr>
      <w:tr w:rsidR="00E85451" w:rsidRPr="00E85451" w:rsidTr="007E4E76">
        <w:trPr>
          <w:trHeight w:val="570"/>
        </w:trPr>
        <w:tc>
          <w:tcPr>
            <w:tcW w:w="3149" w:type="dxa"/>
            <w:vMerge/>
            <w:tcBorders>
              <w:top w:val="nil"/>
              <w:left w:val="single" w:sz="8" w:space="0" w:color="000000"/>
              <w:bottom w:val="single" w:sz="8" w:space="0" w:color="000000"/>
              <w:right w:val="single" w:sz="4" w:space="0" w:color="auto"/>
            </w:tcBorders>
            <w:vAlign w:val="center"/>
            <w:hideMark/>
          </w:tcPr>
          <w:p w:rsidR="000F5FBA" w:rsidRPr="00E85451" w:rsidRDefault="000F5FBA" w:rsidP="000F5FBA">
            <w:pPr>
              <w:widowControl/>
              <w:rPr>
                <w:rFonts w:ascii="Arial" w:hAnsi="Arial" w:cs="Arial"/>
                <w:color w:val="auto"/>
                <w:sz w:val="22"/>
                <w:szCs w:val="22"/>
              </w:rPr>
            </w:pPr>
          </w:p>
        </w:tc>
        <w:tc>
          <w:tcPr>
            <w:tcW w:w="1276" w:type="dxa"/>
            <w:vMerge/>
            <w:tcBorders>
              <w:top w:val="nil"/>
              <w:left w:val="single" w:sz="4" w:space="0" w:color="auto"/>
              <w:bottom w:val="single" w:sz="8" w:space="0" w:color="000000"/>
              <w:right w:val="nil"/>
            </w:tcBorders>
            <w:vAlign w:val="center"/>
            <w:hideMark/>
          </w:tcPr>
          <w:p w:rsidR="000F5FBA" w:rsidRPr="00E85451" w:rsidRDefault="000F5FBA" w:rsidP="000F5FBA">
            <w:pPr>
              <w:widowControl/>
              <w:rPr>
                <w:rFonts w:ascii="Arial" w:hAnsi="Arial" w:cs="Arial"/>
                <w:color w:val="auto"/>
                <w:sz w:val="22"/>
                <w:szCs w:val="22"/>
              </w:rPr>
            </w:pPr>
          </w:p>
        </w:tc>
        <w:tc>
          <w:tcPr>
            <w:tcW w:w="5670" w:type="dxa"/>
            <w:tcBorders>
              <w:top w:val="nil"/>
              <w:left w:val="single" w:sz="4" w:space="0" w:color="000000"/>
              <w:bottom w:val="single" w:sz="8" w:space="0" w:color="000000"/>
              <w:right w:val="single" w:sz="8" w:space="0" w:color="000000"/>
            </w:tcBorders>
            <w:shd w:val="clear" w:color="000000" w:fill="FFFFFF"/>
            <w:vAlign w:val="center"/>
            <w:hideMark/>
          </w:tcPr>
          <w:p w:rsidR="000F5FBA" w:rsidRPr="00E85451" w:rsidRDefault="000F5FBA" w:rsidP="000F5FBA">
            <w:pPr>
              <w:widowControl/>
              <w:jc w:val="center"/>
              <w:rPr>
                <w:rFonts w:ascii="Arial" w:hAnsi="Arial" w:cs="Arial"/>
                <w:color w:val="auto"/>
                <w:sz w:val="22"/>
                <w:szCs w:val="22"/>
              </w:rPr>
            </w:pPr>
            <w:r w:rsidRPr="00E85451">
              <w:rPr>
                <w:rFonts w:ascii="Arial" w:hAnsi="Arial" w:cs="Arial"/>
                <w:color w:val="auto"/>
                <w:sz w:val="22"/>
                <w:szCs w:val="22"/>
                <w:lang w:val="en-US"/>
              </w:rPr>
              <w:t>Google Analytics -  sustav mjerenja statistike posjetitelja na web stranicu – 2 djelatnika</w:t>
            </w:r>
          </w:p>
        </w:tc>
      </w:tr>
    </w:tbl>
    <w:p w:rsidR="000F5FBA" w:rsidRPr="00E85451" w:rsidRDefault="000F5FBA" w:rsidP="000F5FBA">
      <w:pPr>
        <w:jc w:val="both"/>
        <w:rPr>
          <w:rFonts w:ascii="Arial" w:hAnsi="Arial" w:cs="Arial"/>
          <w:color w:val="auto"/>
          <w:sz w:val="22"/>
          <w:szCs w:val="22"/>
        </w:rPr>
      </w:pPr>
    </w:p>
    <w:p w:rsidR="000F5FBA" w:rsidRPr="00E85451" w:rsidRDefault="000F5FBA" w:rsidP="000F5FBA">
      <w:pPr>
        <w:jc w:val="both"/>
        <w:rPr>
          <w:rFonts w:ascii="Arial" w:hAnsi="Arial" w:cs="Arial"/>
          <w:color w:val="auto"/>
          <w:sz w:val="22"/>
          <w:szCs w:val="22"/>
        </w:rPr>
      </w:pPr>
      <w:r w:rsidRPr="00E85451">
        <w:rPr>
          <w:rFonts w:ascii="Arial" w:hAnsi="Arial" w:cs="Arial"/>
          <w:color w:val="auto"/>
          <w:sz w:val="22"/>
          <w:szCs w:val="22"/>
        </w:rPr>
        <w:t xml:space="preserve">U 2014. godini </w:t>
      </w:r>
      <w:r w:rsidR="00C5512F" w:rsidRPr="00E85451">
        <w:rPr>
          <w:rFonts w:ascii="Arial" w:hAnsi="Arial" w:cs="Arial"/>
          <w:color w:val="auto"/>
          <w:sz w:val="22"/>
          <w:szCs w:val="22"/>
        </w:rPr>
        <w:t>izmijenjeni</w:t>
      </w:r>
      <w:r w:rsidRPr="00E85451">
        <w:rPr>
          <w:rFonts w:ascii="Arial" w:hAnsi="Arial" w:cs="Arial"/>
          <w:color w:val="auto"/>
          <w:sz w:val="22"/>
          <w:szCs w:val="22"/>
        </w:rPr>
        <w:t xml:space="preserve"> su sljedeći opći akti Agencije: </w:t>
      </w:r>
    </w:p>
    <w:p w:rsidR="000F5FBA" w:rsidRPr="00E85451" w:rsidRDefault="000F5FBA" w:rsidP="000F5FBA">
      <w:pPr>
        <w:jc w:val="both"/>
        <w:rPr>
          <w:rFonts w:ascii="Arial" w:hAnsi="Arial" w:cs="Arial"/>
          <w:color w:val="auto"/>
          <w:sz w:val="22"/>
          <w:szCs w:val="22"/>
        </w:rPr>
      </w:pPr>
    </w:p>
    <w:p w:rsidR="000F5FBA" w:rsidRPr="00E85451" w:rsidRDefault="000F5FBA" w:rsidP="000F5FBA">
      <w:pPr>
        <w:widowControl/>
        <w:numPr>
          <w:ilvl w:val="0"/>
          <w:numId w:val="25"/>
        </w:numPr>
        <w:jc w:val="both"/>
        <w:rPr>
          <w:rFonts w:ascii="Arial" w:hAnsi="Arial" w:cs="Arial"/>
          <w:color w:val="auto"/>
          <w:sz w:val="22"/>
          <w:szCs w:val="22"/>
          <w:lang w:val="x-none" w:eastAsia="x-none"/>
        </w:rPr>
      </w:pPr>
      <w:r w:rsidRPr="00E85451">
        <w:rPr>
          <w:rFonts w:ascii="Arial" w:hAnsi="Arial" w:cs="Arial"/>
          <w:color w:val="auto"/>
          <w:sz w:val="22"/>
          <w:szCs w:val="22"/>
          <w:lang w:val="x-none" w:eastAsia="x-none"/>
        </w:rPr>
        <w:t>Etički kodeks u studenom 2014</w:t>
      </w:r>
      <w:r w:rsidR="00C5512F" w:rsidRPr="00E85451">
        <w:rPr>
          <w:rFonts w:ascii="Arial" w:hAnsi="Arial" w:cs="Arial"/>
          <w:color w:val="auto"/>
          <w:sz w:val="22"/>
          <w:szCs w:val="22"/>
          <w:lang w:eastAsia="x-none"/>
        </w:rPr>
        <w:t>.</w:t>
      </w:r>
      <w:r w:rsidRPr="00E85451">
        <w:rPr>
          <w:rFonts w:ascii="Arial" w:hAnsi="Arial" w:cs="Arial"/>
          <w:color w:val="auto"/>
          <w:sz w:val="22"/>
          <w:szCs w:val="22"/>
          <w:lang w:val="x-none" w:eastAsia="x-none"/>
        </w:rPr>
        <w:t xml:space="preserve"> </w:t>
      </w:r>
      <w:r w:rsidRPr="00E85451">
        <w:rPr>
          <w:rFonts w:ascii="Arial" w:hAnsi="Arial" w:cs="Arial"/>
          <w:color w:val="auto"/>
          <w:sz w:val="22"/>
          <w:szCs w:val="22"/>
          <w:lang w:eastAsia="x-none"/>
        </w:rPr>
        <w:t xml:space="preserve">kojim smo dodatno definirali prava i obveze djelatnika u pogledu postupanja sa informacijama, uočenim nepravilnostima, korupciji i sl. </w:t>
      </w:r>
    </w:p>
    <w:p w:rsidR="000F5FBA" w:rsidRPr="00E85451" w:rsidRDefault="000F5FBA" w:rsidP="000F5FBA">
      <w:pPr>
        <w:widowControl/>
        <w:ind w:left="720"/>
        <w:jc w:val="both"/>
        <w:rPr>
          <w:rFonts w:ascii="Arial" w:hAnsi="Arial" w:cs="Arial"/>
          <w:color w:val="auto"/>
          <w:sz w:val="22"/>
          <w:szCs w:val="22"/>
          <w:lang w:val="x-none" w:eastAsia="x-none"/>
        </w:rPr>
      </w:pPr>
    </w:p>
    <w:p w:rsidR="000F5FBA" w:rsidRPr="00E85451" w:rsidRDefault="000F5FBA" w:rsidP="000F5FBA">
      <w:pPr>
        <w:widowControl/>
        <w:numPr>
          <w:ilvl w:val="0"/>
          <w:numId w:val="25"/>
        </w:numPr>
        <w:spacing w:after="200" w:line="276" w:lineRule="auto"/>
        <w:contextualSpacing/>
        <w:jc w:val="both"/>
        <w:rPr>
          <w:rFonts w:ascii="Arial" w:eastAsiaTheme="minorHAnsi" w:hAnsi="Arial" w:cs="Arial"/>
          <w:color w:val="auto"/>
          <w:sz w:val="22"/>
          <w:szCs w:val="22"/>
        </w:rPr>
      </w:pPr>
      <w:r w:rsidRPr="00E85451">
        <w:rPr>
          <w:rFonts w:ascii="Arial" w:hAnsi="Arial" w:cs="Arial"/>
          <w:color w:val="auto"/>
          <w:sz w:val="22"/>
          <w:szCs w:val="22"/>
        </w:rPr>
        <w:t>Pravilnik o unutarnjem ustrojstvu i sistematizaciji radnih mjesta  - izm</w:t>
      </w:r>
      <w:r w:rsidR="00D924F2">
        <w:rPr>
          <w:rFonts w:ascii="Arial" w:hAnsi="Arial" w:cs="Arial"/>
          <w:color w:val="auto"/>
          <w:sz w:val="22"/>
          <w:szCs w:val="22"/>
        </w:rPr>
        <w:t>jene i dopune  u svibnju, rujnu</w:t>
      </w:r>
      <w:r w:rsidRPr="00E85451">
        <w:rPr>
          <w:rFonts w:ascii="Arial" w:hAnsi="Arial" w:cs="Arial"/>
          <w:color w:val="auto"/>
          <w:sz w:val="22"/>
          <w:szCs w:val="22"/>
        </w:rPr>
        <w:t xml:space="preserve"> i studenom - izmjene u pogledu strukture radnih mjesta unutar Odjela za opće obrazovanje, Odjela za koor</w:t>
      </w:r>
      <w:r w:rsidR="00C5512F" w:rsidRPr="00E85451">
        <w:rPr>
          <w:rFonts w:ascii="Arial" w:hAnsi="Arial" w:cs="Arial"/>
          <w:color w:val="auto"/>
          <w:sz w:val="22"/>
          <w:szCs w:val="22"/>
        </w:rPr>
        <w:t>dinaciju</w:t>
      </w:r>
      <w:r w:rsidRPr="00E85451">
        <w:rPr>
          <w:rFonts w:ascii="Arial" w:hAnsi="Arial" w:cs="Arial"/>
          <w:color w:val="auto"/>
          <w:sz w:val="22"/>
          <w:szCs w:val="22"/>
        </w:rPr>
        <w:t xml:space="preserve"> i osiguranje kvalitete Programa za cjeloživotno učenje, Odjela za strukovno obrazovanje i osposobljavanje i unutar Odjela za Obzor 2020. radi </w:t>
      </w:r>
      <w:r w:rsidRPr="00E85451">
        <w:rPr>
          <w:rFonts w:ascii="Arial" w:eastAsia="Calibri" w:hAnsi="Arial" w:cs="Arial"/>
          <w:color w:val="auto"/>
          <w:sz w:val="22"/>
          <w:szCs w:val="22"/>
        </w:rPr>
        <w:t>mogućnosti napredovanja i time dugoročnijeg zadržavanja kvalitetnih djelatnika.</w:t>
      </w:r>
    </w:p>
    <w:p w:rsidR="000F5FBA" w:rsidRPr="00E85451" w:rsidRDefault="000F5FBA" w:rsidP="000F5FBA">
      <w:pPr>
        <w:ind w:left="720"/>
        <w:contextualSpacing/>
        <w:jc w:val="both"/>
        <w:rPr>
          <w:rFonts w:ascii="Arial" w:hAnsi="Arial" w:cs="Arial"/>
          <w:color w:val="auto"/>
          <w:sz w:val="22"/>
          <w:szCs w:val="22"/>
        </w:rPr>
      </w:pPr>
    </w:p>
    <w:p w:rsidR="000F5FBA" w:rsidRPr="00E85451" w:rsidRDefault="000F5FBA" w:rsidP="000F5FBA">
      <w:pPr>
        <w:widowControl/>
        <w:numPr>
          <w:ilvl w:val="0"/>
          <w:numId w:val="25"/>
        </w:numPr>
        <w:spacing w:after="200" w:line="276" w:lineRule="auto"/>
        <w:contextualSpacing/>
        <w:jc w:val="both"/>
        <w:rPr>
          <w:rFonts w:ascii="Arial" w:hAnsi="Arial" w:cs="Arial"/>
          <w:color w:val="auto"/>
          <w:sz w:val="22"/>
          <w:szCs w:val="22"/>
        </w:rPr>
      </w:pPr>
      <w:r w:rsidRPr="00E85451">
        <w:rPr>
          <w:rFonts w:ascii="Arial" w:hAnsi="Arial" w:cs="Arial"/>
          <w:color w:val="auto"/>
          <w:sz w:val="22"/>
          <w:szCs w:val="22"/>
        </w:rPr>
        <w:t xml:space="preserve">Pravilnik o stručnom usavršavanju i osposobljavanju djelatnika u veljači 2014. s glavnim izmjenama u pogledu definiranja obveza ostanka djelatnika u službi nakon završetka programa formalnog obrazovanja, smanjenja broja članova Povjerenstva za odobrenje programa osposobljavanja i usavršavanja, izostavljanja obveze ostanka u službi za redovne edukacije iz djelokruga rada djelatnika na koje ih šalje sama Agencija. </w:t>
      </w:r>
    </w:p>
    <w:p w:rsidR="000F5FBA" w:rsidRPr="00E85451" w:rsidRDefault="000F5FBA" w:rsidP="000F5FBA">
      <w:pPr>
        <w:ind w:left="720"/>
        <w:contextualSpacing/>
        <w:jc w:val="both"/>
        <w:rPr>
          <w:rFonts w:ascii="Arial" w:hAnsi="Arial" w:cs="Arial"/>
          <w:color w:val="auto"/>
          <w:sz w:val="22"/>
          <w:szCs w:val="22"/>
        </w:rPr>
      </w:pPr>
    </w:p>
    <w:p w:rsidR="000F5FBA" w:rsidRPr="00E85451" w:rsidRDefault="000F5FBA" w:rsidP="00D924F2">
      <w:pPr>
        <w:jc w:val="both"/>
        <w:rPr>
          <w:rFonts w:ascii="Arial" w:hAnsi="Arial" w:cs="Arial"/>
          <w:color w:val="auto"/>
          <w:sz w:val="22"/>
          <w:szCs w:val="22"/>
        </w:rPr>
      </w:pPr>
      <w:r w:rsidRPr="00E85451">
        <w:rPr>
          <w:rFonts w:ascii="Arial" w:hAnsi="Arial" w:cs="Arial"/>
          <w:color w:val="auto"/>
          <w:sz w:val="22"/>
          <w:szCs w:val="22"/>
        </w:rPr>
        <w:t xml:space="preserve">Za potrebe osiguranja kontinuiteta poslovanja i stalnog </w:t>
      </w:r>
      <w:r w:rsidR="00C5512F" w:rsidRPr="00E85451">
        <w:rPr>
          <w:rFonts w:ascii="Arial" w:hAnsi="Arial" w:cs="Arial"/>
          <w:color w:val="auto"/>
          <w:sz w:val="22"/>
          <w:szCs w:val="22"/>
        </w:rPr>
        <w:t>unaprjeđenja</w:t>
      </w:r>
      <w:r w:rsidRPr="00E85451">
        <w:rPr>
          <w:rFonts w:ascii="Arial" w:hAnsi="Arial" w:cs="Arial"/>
          <w:color w:val="auto"/>
          <w:sz w:val="22"/>
          <w:szCs w:val="22"/>
        </w:rPr>
        <w:t xml:space="preserve">, ujednačenog pristupa i postupanja, Agencija je tijekom 2014. godine redovno ažurirala </w:t>
      </w:r>
      <w:r w:rsidR="00D924F2">
        <w:rPr>
          <w:rFonts w:ascii="Arial" w:hAnsi="Arial" w:cs="Arial"/>
          <w:color w:val="auto"/>
          <w:sz w:val="22"/>
          <w:szCs w:val="22"/>
        </w:rPr>
        <w:t xml:space="preserve">interne </w:t>
      </w:r>
      <w:r w:rsidRPr="00E85451">
        <w:rPr>
          <w:rFonts w:ascii="Arial" w:hAnsi="Arial" w:cs="Arial"/>
          <w:color w:val="auto"/>
          <w:sz w:val="22"/>
          <w:szCs w:val="22"/>
        </w:rPr>
        <w:t xml:space="preserve">programske procedure, te je u srpnju 2014. razradila i usvojila </w:t>
      </w:r>
      <w:r w:rsidR="00C5512F" w:rsidRPr="00E85451">
        <w:rPr>
          <w:rFonts w:ascii="Arial" w:hAnsi="Arial" w:cs="Arial"/>
          <w:color w:val="auto"/>
          <w:sz w:val="22"/>
          <w:szCs w:val="22"/>
        </w:rPr>
        <w:t xml:space="preserve">internu operativnu </w:t>
      </w:r>
      <w:r w:rsidRPr="00E85451">
        <w:rPr>
          <w:rFonts w:ascii="Arial" w:hAnsi="Arial" w:cs="Arial"/>
          <w:color w:val="auto"/>
          <w:sz w:val="22"/>
          <w:szCs w:val="22"/>
        </w:rPr>
        <w:t xml:space="preserve">proceduru za provedbu programa Erasmus+. </w:t>
      </w:r>
    </w:p>
    <w:p w:rsidR="000F5FBA" w:rsidRPr="00E85451" w:rsidRDefault="000F5FBA" w:rsidP="000F5FBA">
      <w:pPr>
        <w:jc w:val="both"/>
        <w:rPr>
          <w:rFonts w:ascii="Arial" w:hAnsi="Arial" w:cs="Arial"/>
          <w:color w:val="auto"/>
          <w:sz w:val="22"/>
          <w:szCs w:val="22"/>
        </w:rPr>
      </w:pPr>
      <w:r w:rsidRPr="00E85451">
        <w:rPr>
          <w:rFonts w:ascii="Arial" w:hAnsi="Arial" w:cs="Arial"/>
          <w:color w:val="auto"/>
          <w:sz w:val="22"/>
          <w:szCs w:val="22"/>
        </w:rPr>
        <w:t>Agencija je od rujna 2014. godine u sustavu Centralnog obračuna plaća (COP).</w:t>
      </w:r>
    </w:p>
    <w:p w:rsidR="000F5FBA" w:rsidRPr="00E85451" w:rsidRDefault="000F5FBA" w:rsidP="00B97010">
      <w:pPr>
        <w:rPr>
          <w:rFonts w:ascii="Arial" w:hAnsi="Arial" w:cs="Arial"/>
          <w:color w:val="auto"/>
          <w:sz w:val="22"/>
          <w:szCs w:val="22"/>
        </w:rPr>
      </w:pPr>
    </w:p>
    <w:p w:rsidR="000F5FBA" w:rsidRPr="000F3158" w:rsidRDefault="000F5FBA" w:rsidP="00860FAB">
      <w:pPr>
        <w:pStyle w:val="Heading2"/>
        <w:rPr>
          <w:rFonts w:ascii="Arial" w:eastAsia="SimSun" w:hAnsi="Arial" w:cs="Arial"/>
          <w:color w:val="auto"/>
          <w:sz w:val="24"/>
          <w:szCs w:val="24"/>
          <w:lang w:eastAsia="en-US"/>
        </w:rPr>
      </w:pPr>
      <w:bookmarkStart w:id="35" w:name="_Toc386798977"/>
      <w:bookmarkStart w:id="36" w:name="_Toc419192166"/>
      <w:r w:rsidRPr="000F3158">
        <w:rPr>
          <w:rFonts w:ascii="Arial" w:eastAsia="SimSun" w:hAnsi="Arial" w:cs="Arial"/>
          <w:color w:val="auto"/>
          <w:sz w:val="24"/>
          <w:szCs w:val="24"/>
          <w:lang w:eastAsia="en-US"/>
        </w:rPr>
        <w:lastRenderedPageBreak/>
        <w:t>5.2. Maksimizacija korištenja IT sustava</w:t>
      </w:r>
      <w:bookmarkEnd w:id="35"/>
      <w:bookmarkEnd w:id="36"/>
      <w:r w:rsidRPr="000F3158">
        <w:rPr>
          <w:rFonts w:ascii="Arial" w:eastAsia="SimSun" w:hAnsi="Arial" w:cs="Arial"/>
          <w:color w:val="auto"/>
          <w:sz w:val="24"/>
          <w:szCs w:val="24"/>
          <w:lang w:eastAsia="en-US"/>
        </w:rPr>
        <w:t xml:space="preserve"> </w:t>
      </w:r>
    </w:p>
    <w:p w:rsidR="000F5FBA" w:rsidRPr="00E85451" w:rsidRDefault="000F5FBA" w:rsidP="000F5FBA">
      <w:pPr>
        <w:widowControl/>
        <w:jc w:val="both"/>
        <w:rPr>
          <w:rFonts w:ascii="Arial" w:hAnsi="Arial" w:cs="Arial"/>
          <w:color w:val="auto"/>
          <w:sz w:val="22"/>
          <w:szCs w:val="22"/>
        </w:rPr>
      </w:pPr>
    </w:p>
    <w:p w:rsidR="000F5FBA" w:rsidRPr="00E85451" w:rsidRDefault="000F5FBA" w:rsidP="000F5FBA">
      <w:pPr>
        <w:widowControl/>
        <w:jc w:val="both"/>
        <w:rPr>
          <w:rFonts w:ascii="Arial" w:hAnsi="Arial" w:cs="Arial"/>
          <w:color w:val="auto"/>
          <w:sz w:val="22"/>
          <w:szCs w:val="22"/>
        </w:rPr>
      </w:pPr>
      <w:r w:rsidRPr="00E85451">
        <w:rPr>
          <w:rFonts w:ascii="Arial" w:hAnsi="Arial" w:cs="Arial"/>
          <w:color w:val="auto"/>
          <w:sz w:val="22"/>
          <w:szCs w:val="22"/>
        </w:rPr>
        <w:t xml:space="preserve">U svojem poslovanju Agencija za mobilnost i programe EU </w:t>
      </w:r>
      <w:r w:rsidR="00D924F2">
        <w:rPr>
          <w:rFonts w:ascii="Arial" w:hAnsi="Arial" w:cs="Arial"/>
          <w:color w:val="auto"/>
          <w:sz w:val="22"/>
          <w:szCs w:val="22"/>
        </w:rPr>
        <w:t xml:space="preserve">i tijekom 2014. godine </w:t>
      </w:r>
      <w:r w:rsidRPr="00E85451">
        <w:rPr>
          <w:rFonts w:ascii="Arial" w:hAnsi="Arial" w:cs="Arial"/>
          <w:color w:val="auto"/>
          <w:sz w:val="22"/>
          <w:szCs w:val="22"/>
        </w:rPr>
        <w:t>oslanja</w:t>
      </w:r>
      <w:r w:rsidR="00D924F2">
        <w:rPr>
          <w:rFonts w:ascii="Arial" w:hAnsi="Arial" w:cs="Arial"/>
          <w:color w:val="auto"/>
          <w:sz w:val="22"/>
          <w:szCs w:val="22"/>
        </w:rPr>
        <w:t>la</w:t>
      </w:r>
      <w:r w:rsidRPr="00E85451">
        <w:rPr>
          <w:rFonts w:ascii="Arial" w:hAnsi="Arial" w:cs="Arial"/>
          <w:color w:val="auto"/>
          <w:sz w:val="22"/>
          <w:szCs w:val="22"/>
        </w:rPr>
        <w:t xml:space="preserve"> se na informatičke sustave za različite potrebe: vođenje kadrovske evidencije o djelatnicima, računovodstveni sustav, sustav za vođenje projekata, te centralizirani sustavi Europske komisije za prihvaćanje </w:t>
      </w:r>
      <w:r w:rsidR="00D924F2">
        <w:rPr>
          <w:rFonts w:ascii="Arial" w:hAnsi="Arial" w:cs="Arial"/>
          <w:color w:val="auto"/>
          <w:sz w:val="22"/>
          <w:szCs w:val="22"/>
        </w:rPr>
        <w:t xml:space="preserve">i obradu </w:t>
      </w:r>
      <w:r w:rsidRPr="00E85451">
        <w:rPr>
          <w:rFonts w:ascii="Arial" w:hAnsi="Arial" w:cs="Arial"/>
          <w:color w:val="auto"/>
          <w:sz w:val="22"/>
          <w:szCs w:val="22"/>
        </w:rPr>
        <w:t>projektnih prijava</w:t>
      </w:r>
      <w:r w:rsidR="00D924F2">
        <w:rPr>
          <w:rFonts w:ascii="Arial" w:hAnsi="Arial" w:cs="Arial"/>
          <w:color w:val="auto"/>
          <w:sz w:val="22"/>
          <w:szCs w:val="22"/>
        </w:rPr>
        <w:t xml:space="preserve"> i odobrenih projektnih prijedloga</w:t>
      </w:r>
      <w:r w:rsidRPr="00E85451">
        <w:rPr>
          <w:rFonts w:ascii="Arial" w:hAnsi="Arial" w:cs="Arial"/>
          <w:color w:val="auto"/>
          <w:sz w:val="22"/>
          <w:szCs w:val="22"/>
        </w:rPr>
        <w:t>.</w:t>
      </w:r>
    </w:p>
    <w:p w:rsidR="000F5FBA" w:rsidRPr="00E85451" w:rsidRDefault="000F5FBA" w:rsidP="000F5FBA">
      <w:pPr>
        <w:widowControl/>
        <w:spacing w:before="100" w:beforeAutospacing="1" w:after="100" w:afterAutospacing="1"/>
        <w:jc w:val="both"/>
        <w:rPr>
          <w:rFonts w:ascii="Arial" w:hAnsi="Arial" w:cs="Arial"/>
          <w:color w:val="auto"/>
          <w:sz w:val="22"/>
          <w:szCs w:val="22"/>
        </w:rPr>
      </w:pPr>
      <w:r w:rsidRPr="00E85451">
        <w:rPr>
          <w:rFonts w:ascii="Arial" w:hAnsi="Arial" w:cs="Arial"/>
          <w:color w:val="auto"/>
          <w:sz w:val="22"/>
          <w:szCs w:val="22"/>
        </w:rPr>
        <w:t xml:space="preserve">Tijekom 2014. </w:t>
      </w:r>
      <w:r w:rsidR="00D924F2">
        <w:rPr>
          <w:rFonts w:ascii="Arial" w:hAnsi="Arial" w:cs="Arial"/>
          <w:color w:val="auto"/>
          <w:sz w:val="22"/>
          <w:szCs w:val="22"/>
        </w:rPr>
        <w:t xml:space="preserve">poseban </w:t>
      </w:r>
      <w:r w:rsidRPr="00E85451">
        <w:rPr>
          <w:rFonts w:ascii="Arial" w:hAnsi="Arial" w:cs="Arial"/>
          <w:color w:val="auto"/>
          <w:sz w:val="22"/>
          <w:szCs w:val="22"/>
        </w:rPr>
        <w:t xml:space="preserve">naglasak </w:t>
      </w:r>
      <w:r w:rsidR="00D924F2">
        <w:rPr>
          <w:rFonts w:ascii="Arial" w:hAnsi="Arial" w:cs="Arial"/>
          <w:color w:val="auto"/>
          <w:sz w:val="22"/>
          <w:szCs w:val="22"/>
        </w:rPr>
        <w:t>stavljen je na uspostavu</w:t>
      </w:r>
      <w:r w:rsidRPr="00E85451">
        <w:rPr>
          <w:rFonts w:ascii="Arial" w:hAnsi="Arial" w:cs="Arial"/>
          <w:color w:val="auto"/>
          <w:sz w:val="22"/>
          <w:szCs w:val="22"/>
        </w:rPr>
        <w:t xml:space="preserve"> novog sustava za provedbu programa Erasmus+ - sustava Mobius+ te na razvoju baze podataka Obzor 2020.</w:t>
      </w:r>
    </w:p>
    <w:p w:rsidR="000F5FBA" w:rsidRPr="00E85451" w:rsidRDefault="00D924F2" w:rsidP="000F5FBA">
      <w:pPr>
        <w:widowControl/>
        <w:jc w:val="both"/>
        <w:rPr>
          <w:rFonts w:ascii="Arial" w:hAnsi="Arial" w:cs="Arial"/>
          <w:color w:val="auto"/>
          <w:sz w:val="22"/>
          <w:szCs w:val="22"/>
        </w:rPr>
      </w:pPr>
      <w:r>
        <w:rPr>
          <w:rFonts w:ascii="Arial" w:hAnsi="Arial" w:cs="Arial"/>
          <w:color w:val="auto"/>
          <w:sz w:val="22"/>
          <w:szCs w:val="22"/>
        </w:rPr>
        <w:t xml:space="preserve">Iako su postojali planovi i potreba već tijekom 2014. za uvođenjem </w:t>
      </w:r>
      <w:r w:rsidRPr="00E85451">
        <w:rPr>
          <w:rFonts w:ascii="Arial" w:hAnsi="Arial" w:cs="Arial"/>
          <w:color w:val="auto"/>
          <w:sz w:val="22"/>
          <w:szCs w:val="22"/>
        </w:rPr>
        <w:t>digitalne arhive te sustava upravljanja dokumenata, bilo putem nadogradnje postojećeg sustava, bilo putem nabavke novog sustava</w:t>
      </w:r>
      <w:r>
        <w:rPr>
          <w:rFonts w:ascii="Arial" w:hAnsi="Arial" w:cs="Arial"/>
          <w:color w:val="auto"/>
          <w:sz w:val="22"/>
          <w:szCs w:val="22"/>
        </w:rPr>
        <w:t xml:space="preserve">, zbog drugih prioritetnijih poslovnih procesa (razvoj sustava Mobius+) i raspoloživih sredstava nije ih bilo moguće realizirati te se prenose u 2015. godinu. </w:t>
      </w:r>
    </w:p>
    <w:p w:rsidR="000F5FBA" w:rsidRPr="00E85451" w:rsidRDefault="000F5FBA" w:rsidP="000F5FBA">
      <w:pPr>
        <w:widowControl/>
        <w:rPr>
          <w:rFonts w:ascii="Arial" w:hAnsi="Arial" w:cs="Arial"/>
          <w:color w:val="auto"/>
          <w:sz w:val="22"/>
          <w:szCs w:val="22"/>
          <w:lang w:eastAsia="en-US"/>
        </w:rPr>
      </w:pPr>
    </w:p>
    <w:p w:rsidR="000F5FBA" w:rsidRPr="000F3158" w:rsidRDefault="000F5FBA" w:rsidP="00860FAB">
      <w:pPr>
        <w:pStyle w:val="Heading2"/>
        <w:rPr>
          <w:rFonts w:ascii="Arial" w:eastAsia="SimSun" w:hAnsi="Arial" w:cs="Arial"/>
          <w:color w:val="auto"/>
          <w:sz w:val="24"/>
          <w:szCs w:val="24"/>
          <w:lang w:eastAsia="en-US"/>
        </w:rPr>
      </w:pPr>
      <w:bookmarkStart w:id="37" w:name="_Toc386798978"/>
      <w:bookmarkStart w:id="38" w:name="_Toc419192167"/>
      <w:r w:rsidRPr="000F3158">
        <w:rPr>
          <w:rFonts w:ascii="Arial" w:eastAsia="SimSun" w:hAnsi="Arial" w:cs="Arial"/>
          <w:color w:val="auto"/>
          <w:sz w:val="24"/>
          <w:szCs w:val="24"/>
          <w:lang w:eastAsia="en-US"/>
        </w:rPr>
        <w:t>5.3. Prijenos informacija</w:t>
      </w:r>
      <w:bookmarkEnd w:id="37"/>
      <w:bookmarkEnd w:id="38"/>
    </w:p>
    <w:p w:rsidR="000F5FBA" w:rsidRPr="00E85451" w:rsidRDefault="000F5FBA" w:rsidP="000F5FBA">
      <w:pPr>
        <w:widowControl/>
        <w:jc w:val="both"/>
        <w:rPr>
          <w:rFonts w:ascii="Arial" w:hAnsi="Arial" w:cs="Arial"/>
          <w:color w:val="auto"/>
          <w:sz w:val="22"/>
          <w:szCs w:val="22"/>
        </w:rPr>
      </w:pPr>
    </w:p>
    <w:p w:rsidR="000F5FBA" w:rsidRPr="00E85451" w:rsidRDefault="000F5FBA" w:rsidP="000F5FBA">
      <w:pPr>
        <w:widowControl/>
        <w:jc w:val="both"/>
        <w:rPr>
          <w:rFonts w:ascii="Arial" w:hAnsi="Arial" w:cs="Arial"/>
          <w:color w:val="auto"/>
          <w:sz w:val="22"/>
          <w:szCs w:val="22"/>
        </w:rPr>
      </w:pPr>
      <w:r w:rsidRPr="00E85451">
        <w:rPr>
          <w:rFonts w:ascii="Arial" w:hAnsi="Arial" w:cs="Arial"/>
          <w:color w:val="auto"/>
          <w:sz w:val="22"/>
          <w:szCs w:val="22"/>
        </w:rPr>
        <w:t>Tijekom 2014.g. prijenos informacija, kao i dosad</w:t>
      </w:r>
      <w:r w:rsidR="00D924F2">
        <w:rPr>
          <w:rFonts w:ascii="Arial" w:hAnsi="Arial" w:cs="Arial"/>
          <w:color w:val="auto"/>
          <w:sz w:val="22"/>
          <w:szCs w:val="22"/>
        </w:rPr>
        <w:t>ašnjih godina, osigurao se</w:t>
      </w:r>
      <w:r w:rsidRPr="00E85451">
        <w:rPr>
          <w:rFonts w:ascii="Arial" w:hAnsi="Arial" w:cs="Arial"/>
          <w:color w:val="auto"/>
          <w:sz w:val="22"/>
          <w:szCs w:val="22"/>
        </w:rPr>
        <w:t xml:space="preserve"> redovitim tjednim sastancima unutar odjela, tjednim koordinacijskim sastancima ravnatelja, pomoćnika i načelnika</w:t>
      </w:r>
      <w:r w:rsidR="00D924F2">
        <w:rPr>
          <w:rFonts w:ascii="Arial" w:hAnsi="Arial" w:cs="Arial"/>
          <w:color w:val="auto"/>
          <w:sz w:val="22"/>
          <w:szCs w:val="22"/>
        </w:rPr>
        <w:t>/voditelja</w:t>
      </w:r>
      <w:r w:rsidRPr="00E85451">
        <w:rPr>
          <w:rFonts w:ascii="Arial" w:hAnsi="Arial" w:cs="Arial"/>
          <w:color w:val="auto"/>
          <w:sz w:val="22"/>
          <w:szCs w:val="22"/>
        </w:rPr>
        <w:t>, te mjesečnim kolegijima ravnatelja, pomoćnika, načelnika i voditelja. Prijenos informacija također je osiguran slanjem zapisnika sa sastanaka ili izvješća sa službenih putovanja na mailing listu</w:t>
      </w:r>
      <w:r w:rsidR="00D924F2">
        <w:rPr>
          <w:rFonts w:ascii="Arial" w:hAnsi="Arial" w:cs="Arial"/>
          <w:color w:val="auto"/>
          <w:sz w:val="22"/>
          <w:szCs w:val="22"/>
        </w:rPr>
        <w:t xml:space="preserve"> svih djelatnika Agencije. Uvedena je</w:t>
      </w:r>
      <w:r w:rsidRPr="00E85451">
        <w:rPr>
          <w:rFonts w:ascii="Arial" w:hAnsi="Arial" w:cs="Arial"/>
          <w:color w:val="auto"/>
          <w:sz w:val="22"/>
          <w:szCs w:val="22"/>
        </w:rPr>
        <w:t xml:space="preserve"> i obveza slanja kratkih bilježaka ili zapisnika sa pohađanih edukacija na mailing listu svih djelatnika Agencije a posebice djelatnika istog odjela radi internog prijenosa znanja i iskustava.</w:t>
      </w:r>
    </w:p>
    <w:p w:rsidR="000F5FBA" w:rsidRPr="00E85451" w:rsidRDefault="000F5FBA" w:rsidP="000F5FBA">
      <w:pPr>
        <w:widowControl/>
        <w:rPr>
          <w:rFonts w:ascii="Arial" w:hAnsi="Arial" w:cs="Arial"/>
          <w:color w:val="auto"/>
          <w:sz w:val="22"/>
          <w:szCs w:val="22"/>
          <w:lang w:eastAsia="en-US"/>
        </w:rPr>
      </w:pPr>
    </w:p>
    <w:p w:rsidR="000F5FBA" w:rsidRPr="000F3158" w:rsidRDefault="000F5FBA" w:rsidP="00860FAB">
      <w:pPr>
        <w:pStyle w:val="Heading2"/>
        <w:rPr>
          <w:rFonts w:ascii="Arial" w:eastAsia="SimSun" w:hAnsi="Arial" w:cs="Arial"/>
          <w:color w:val="auto"/>
          <w:sz w:val="24"/>
          <w:szCs w:val="24"/>
          <w:lang w:eastAsia="en-US"/>
        </w:rPr>
      </w:pPr>
      <w:bookmarkStart w:id="39" w:name="_Toc386798979"/>
      <w:bookmarkStart w:id="40" w:name="_Toc419192168"/>
      <w:r w:rsidRPr="000F3158">
        <w:rPr>
          <w:rFonts w:ascii="Arial" w:eastAsia="SimSun" w:hAnsi="Arial" w:cs="Arial"/>
          <w:color w:val="auto"/>
          <w:sz w:val="24"/>
          <w:szCs w:val="24"/>
          <w:lang w:eastAsia="en-US"/>
        </w:rPr>
        <w:t>5.4. Unutarnja revizija i osiguranje kvalitete</w:t>
      </w:r>
      <w:bookmarkEnd w:id="39"/>
      <w:bookmarkEnd w:id="40"/>
      <w:r w:rsidRPr="000F3158">
        <w:rPr>
          <w:rFonts w:ascii="Arial" w:eastAsia="SimSun" w:hAnsi="Arial" w:cs="Arial"/>
          <w:color w:val="auto"/>
          <w:sz w:val="24"/>
          <w:szCs w:val="24"/>
          <w:lang w:eastAsia="en-US"/>
        </w:rPr>
        <w:t xml:space="preserve"> </w:t>
      </w:r>
    </w:p>
    <w:p w:rsidR="000F5FBA" w:rsidRPr="00E85451" w:rsidRDefault="000F5FBA" w:rsidP="000F5FBA">
      <w:pPr>
        <w:widowControl/>
        <w:rPr>
          <w:rFonts w:ascii="Arial" w:hAnsi="Arial" w:cs="Arial"/>
          <w:color w:val="auto"/>
          <w:sz w:val="22"/>
          <w:szCs w:val="22"/>
          <w:lang w:eastAsia="en-US"/>
        </w:rPr>
      </w:pPr>
    </w:p>
    <w:p w:rsidR="000F5FBA" w:rsidRPr="00E85451" w:rsidRDefault="00F0066C" w:rsidP="000F5FBA">
      <w:pPr>
        <w:widowControl/>
        <w:rPr>
          <w:rFonts w:ascii="Arial" w:hAnsi="Arial" w:cs="Arial"/>
          <w:color w:val="auto"/>
          <w:sz w:val="22"/>
          <w:szCs w:val="22"/>
          <w:lang w:eastAsia="en-US"/>
        </w:rPr>
      </w:pPr>
      <w:r w:rsidRPr="00E85451">
        <w:rPr>
          <w:rFonts w:ascii="Arial" w:hAnsi="Arial" w:cs="Arial"/>
          <w:color w:val="auto"/>
          <w:sz w:val="22"/>
          <w:szCs w:val="22"/>
          <w:lang w:eastAsia="en-US"/>
        </w:rPr>
        <w:t>Što se tiče načina djelovanja unutarnje revizije i povezanosti sa sustavom osiguranja kvalitete, izvješće je podneseno u okviru poglavlja 4. Integrirani sustav kontrole.</w:t>
      </w:r>
    </w:p>
    <w:p w:rsidR="000F5FBA" w:rsidRPr="00E85451" w:rsidRDefault="000F5FBA" w:rsidP="000F5FBA">
      <w:pPr>
        <w:widowControl/>
        <w:jc w:val="both"/>
        <w:rPr>
          <w:rFonts w:ascii="Arial" w:hAnsi="Arial" w:cs="Arial"/>
          <w:color w:val="auto"/>
          <w:sz w:val="22"/>
          <w:szCs w:val="22"/>
        </w:rPr>
      </w:pPr>
    </w:p>
    <w:p w:rsidR="000F5FBA" w:rsidRPr="00E85451" w:rsidRDefault="000F5FBA" w:rsidP="00B97010">
      <w:pPr>
        <w:rPr>
          <w:rFonts w:ascii="Arial" w:hAnsi="Arial" w:cs="Arial"/>
          <w:color w:val="auto"/>
          <w:sz w:val="22"/>
          <w:szCs w:val="22"/>
        </w:rPr>
      </w:pPr>
    </w:p>
    <w:p w:rsidR="00223574" w:rsidRDefault="00702C04">
      <w:pPr>
        <w:rPr>
          <w:rFonts w:ascii="Arial" w:hAnsi="Arial" w:cs="Arial"/>
          <w:color w:val="auto"/>
          <w:sz w:val="22"/>
          <w:szCs w:val="22"/>
        </w:rPr>
        <w:sectPr w:rsidR="00223574" w:rsidSect="00016D13">
          <w:headerReference w:type="even" r:id="rId12"/>
          <w:headerReference w:type="default" r:id="rId13"/>
          <w:footerReference w:type="even" r:id="rId14"/>
          <w:footerReference w:type="default" r:id="rId15"/>
          <w:headerReference w:type="first" r:id="rId16"/>
          <w:footerReference w:type="first" r:id="rId17"/>
          <w:pgSz w:w="11900" w:h="16840"/>
          <w:pgMar w:top="1440" w:right="1712" w:bottom="1440" w:left="1270" w:header="426" w:footer="377" w:gutter="0"/>
          <w:cols w:space="720"/>
          <w:docGrid w:linePitch="326"/>
        </w:sectPr>
      </w:pPr>
      <w:r>
        <w:rPr>
          <w:rFonts w:ascii="Arial" w:hAnsi="Arial" w:cs="Arial"/>
          <w:color w:val="auto"/>
          <w:sz w:val="22"/>
          <w:szCs w:val="22"/>
        </w:rPr>
        <w:br w:type="page"/>
      </w:r>
    </w:p>
    <w:p w:rsidR="00F430E2" w:rsidRPr="000F3158" w:rsidRDefault="00F430E2" w:rsidP="00F430E2">
      <w:pPr>
        <w:pStyle w:val="Heading1"/>
        <w:numPr>
          <w:ilvl w:val="0"/>
          <w:numId w:val="27"/>
        </w:numPr>
        <w:rPr>
          <w:rFonts w:ascii="Arial" w:hAnsi="Arial" w:cs="Arial"/>
          <w:color w:val="auto"/>
          <w:sz w:val="28"/>
          <w:szCs w:val="28"/>
        </w:rPr>
      </w:pPr>
      <w:bookmarkStart w:id="41" w:name="_Toc419192169"/>
      <w:r>
        <w:rPr>
          <w:rFonts w:ascii="Arial" w:hAnsi="Arial" w:cs="Arial"/>
          <w:color w:val="auto"/>
          <w:sz w:val="28"/>
          <w:szCs w:val="28"/>
        </w:rPr>
        <w:lastRenderedPageBreak/>
        <w:t>Statistike</w:t>
      </w:r>
      <w:bookmarkEnd w:id="41"/>
    </w:p>
    <w:p w:rsidR="00B97010" w:rsidRPr="00E85451" w:rsidRDefault="00B97010" w:rsidP="00B97010">
      <w:pPr>
        <w:pStyle w:val="ListParagraph"/>
        <w:rPr>
          <w:rFonts w:ascii="Arial" w:hAnsi="Arial" w:cs="Arial"/>
          <w:color w:val="auto"/>
          <w:sz w:val="22"/>
          <w:szCs w:val="22"/>
        </w:rPr>
      </w:pPr>
    </w:p>
    <w:p w:rsidR="00B97010" w:rsidRDefault="00B97010" w:rsidP="00B97010">
      <w:pPr>
        <w:rPr>
          <w:rFonts w:ascii="Arial" w:hAnsi="Arial" w:cs="Arial"/>
          <w:color w:val="auto"/>
          <w:sz w:val="22"/>
          <w:szCs w:val="22"/>
        </w:rPr>
      </w:pPr>
    </w:p>
    <w:tbl>
      <w:tblPr>
        <w:tblW w:w="15395" w:type="dxa"/>
        <w:tblInd w:w="-459" w:type="dxa"/>
        <w:tblLook w:val="04A0" w:firstRow="1" w:lastRow="0" w:firstColumn="1" w:lastColumn="0" w:noHBand="0" w:noVBand="1"/>
      </w:tblPr>
      <w:tblGrid>
        <w:gridCol w:w="2142"/>
        <w:gridCol w:w="2215"/>
        <w:gridCol w:w="2179"/>
        <w:gridCol w:w="1834"/>
        <w:gridCol w:w="1710"/>
        <w:gridCol w:w="1745"/>
        <w:gridCol w:w="1754"/>
        <w:gridCol w:w="1816"/>
      </w:tblGrid>
      <w:tr w:rsidR="00F430E2" w:rsidRPr="00E85451" w:rsidTr="00F430E2">
        <w:trPr>
          <w:trHeight w:val="615"/>
        </w:trPr>
        <w:tc>
          <w:tcPr>
            <w:tcW w:w="15395" w:type="dxa"/>
            <w:gridSpan w:val="8"/>
            <w:tcBorders>
              <w:top w:val="nil"/>
              <w:left w:val="nil"/>
              <w:bottom w:val="nil"/>
              <w:right w:val="nil"/>
            </w:tcBorders>
            <w:shd w:val="clear" w:color="auto" w:fill="auto"/>
            <w:vAlign w:val="bottom"/>
            <w:hideMark/>
          </w:tcPr>
          <w:p w:rsidR="00F430E2" w:rsidRPr="00E85451" w:rsidRDefault="00F430E2" w:rsidP="00F430E2">
            <w:pPr>
              <w:widowControl/>
              <w:jc w:val="center"/>
              <w:rPr>
                <w:rFonts w:ascii="Arial" w:hAnsi="Arial" w:cs="Arial"/>
                <w:color w:val="auto"/>
                <w:sz w:val="22"/>
                <w:szCs w:val="22"/>
                <w:lang w:eastAsia="en-GB"/>
              </w:rPr>
            </w:pPr>
            <w:r w:rsidRPr="00E85451">
              <w:rPr>
                <w:rFonts w:ascii="Arial" w:hAnsi="Arial" w:cs="Arial"/>
                <w:color w:val="auto"/>
                <w:sz w:val="22"/>
                <w:szCs w:val="22"/>
                <w:lang w:eastAsia="en-GB"/>
              </w:rPr>
              <w:t xml:space="preserve">Program Erasmus+ - raspoloživa i ugovorena sredstva u okviru 2014. natječajne godine </w:t>
            </w:r>
          </w:p>
        </w:tc>
      </w:tr>
      <w:tr w:rsidR="00F430E2" w:rsidRPr="00E85451" w:rsidTr="00F430E2">
        <w:trPr>
          <w:trHeight w:val="300"/>
        </w:trPr>
        <w:tc>
          <w:tcPr>
            <w:tcW w:w="2142" w:type="dxa"/>
            <w:tcBorders>
              <w:top w:val="nil"/>
              <w:left w:val="nil"/>
              <w:bottom w:val="nil"/>
              <w:right w:val="nil"/>
            </w:tcBorders>
            <w:shd w:val="clear" w:color="auto" w:fill="auto"/>
            <w:vAlign w:val="bottom"/>
            <w:hideMark/>
          </w:tcPr>
          <w:p w:rsidR="00F430E2" w:rsidRPr="00E85451" w:rsidRDefault="00F430E2" w:rsidP="00F430E2">
            <w:pPr>
              <w:widowControl/>
              <w:rPr>
                <w:rFonts w:ascii="Arial" w:hAnsi="Arial" w:cs="Arial"/>
                <w:color w:val="auto"/>
                <w:sz w:val="22"/>
                <w:szCs w:val="22"/>
                <w:lang w:eastAsia="en-GB"/>
              </w:rPr>
            </w:pPr>
          </w:p>
        </w:tc>
        <w:tc>
          <w:tcPr>
            <w:tcW w:w="2215" w:type="dxa"/>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c>
          <w:tcPr>
            <w:tcW w:w="2179" w:type="dxa"/>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c>
          <w:tcPr>
            <w:tcW w:w="1834" w:type="dxa"/>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c>
          <w:tcPr>
            <w:tcW w:w="1710" w:type="dxa"/>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c>
          <w:tcPr>
            <w:tcW w:w="1745" w:type="dxa"/>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c>
          <w:tcPr>
            <w:tcW w:w="1754" w:type="dxa"/>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c>
          <w:tcPr>
            <w:tcW w:w="1816" w:type="dxa"/>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r>
      <w:tr w:rsidR="00F430E2" w:rsidRPr="00E85451" w:rsidTr="00F430E2">
        <w:trPr>
          <w:trHeight w:val="1080"/>
        </w:trPr>
        <w:tc>
          <w:tcPr>
            <w:tcW w:w="2142" w:type="dxa"/>
            <w:tcBorders>
              <w:top w:val="single" w:sz="4" w:space="0" w:color="auto"/>
              <w:left w:val="single" w:sz="4" w:space="0" w:color="auto"/>
              <w:bottom w:val="single" w:sz="4" w:space="0" w:color="auto"/>
              <w:right w:val="single" w:sz="4" w:space="0" w:color="auto"/>
            </w:tcBorders>
            <w:shd w:val="clear" w:color="000000" w:fill="4BACC6"/>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Sektorsko područje</w:t>
            </w:r>
          </w:p>
        </w:tc>
        <w:tc>
          <w:tcPr>
            <w:tcW w:w="2215" w:type="dxa"/>
            <w:tcBorders>
              <w:top w:val="single" w:sz="4" w:space="0" w:color="auto"/>
              <w:left w:val="nil"/>
              <w:bottom w:val="single" w:sz="4" w:space="0" w:color="auto"/>
              <w:right w:val="single" w:sz="4" w:space="0" w:color="auto"/>
            </w:tcBorders>
            <w:shd w:val="clear" w:color="000000" w:fill="4BACC6"/>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Ključna aktivnost</w:t>
            </w:r>
          </w:p>
        </w:tc>
        <w:tc>
          <w:tcPr>
            <w:tcW w:w="2179" w:type="dxa"/>
            <w:tcBorders>
              <w:top w:val="single" w:sz="4" w:space="0" w:color="auto"/>
              <w:left w:val="single" w:sz="4" w:space="0" w:color="auto"/>
              <w:bottom w:val="single" w:sz="4" w:space="0" w:color="auto"/>
              <w:right w:val="single" w:sz="4" w:space="0" w:color="auto"/>
            </w:tcBorders>
            <w:shd w:val="clear" w:color="4BACC6" w:fill="4BACC6"/>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Aktivnost</w:t>
            </w:r>
          </w:p>
        </w:tc>
        <w:tc>
          <w:tcPr>
            <w:tcW w:w="1834" w:type="dxa"/>
            <w:tcBorders>
              <w:top w:val="single" w:sz="4" w:space="0" w:color="auto"/>
              <w:left w:val="single" w:sz="4" w:space="0" w:color="auto"/>
              <w:bottom w:val="single" w:sz="4" w:space="0" w:color="auto"/>
              <w:right w:val="single" w:sz="4" w:space="0" w:color="auto"/>
            </w:tcBorders>
            <w:shd w:val="clear" w:color="4BACC6" w:fill="4BACC6"/>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Dodijeljeni iznos (Ugovor EK -AMPEU + amandmani)</w:t>
            </w:r>
          </w:p>
        </w:tc>
        <w:tc>
          <w:tcPr>
            <w:tcW w:w="1710" w:type="dxa"/>
            <w:tcBorders>
              <w:top w:val="single" w:sz="4" w:space="0" w:color="auto"/>
              <w:left w:val="single" w:sz="4" w:space="0" w:color="auto"/>
              <w:bottom w:val="single" w:sz="4" w:space="0" w:color="auto"/>
              <w:right w:val="single" w:sz="4" w:space="0" w:color="auto"/>
            </w:tcBorders>
            <w:shd w:val="clear" w:color="4BACC6" w:fill="4BACC6"/>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Raspodjela sredstava između sektorskih područja i aktivnosti (AMPEU)</w:t>
            </w:r>
          </w:p>
        </w:tc>
        <w:tc>
          <w:tcPr>
            <w:tcW w:w="1745" w:type="dxa"/>
            <w:tcBorders>
              <w:top w:val="single" w:sz="4" w:space="0" w:color="auto"/>
              <w:left w:val="single" w:sz="4" w:space="0" w:color="auto"/>
              <w:bottom w:val="single" w:sz="4" w:space="0" w:color="auto"/>
              <w:right w:val="single" w:sz="4" w:space="0" w:color="auto"/>
            </w:tcBorders>
            <w:shd w:val="clear" w:color="4BACC6" w:fill="4BACC6"/>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Raspoloživ iznos nakon preraspodjele (€)</w:t>
            </w:r>
          </w:p>
        </w:tc>
        <w:tc>
          <w:tcPr>
            <w:tcW w:w="1754" w:type="dxa"/>
            <w:tcBorders>
              <w:top w:val="single" w:sz="4" w:space="0" w:color="auto"/>
              <w:left w:val="single" w:sz="4" w:space="0" w:color="auto"/>
              <w:bottom w:val="single" w:sz="4" w:space="0" w:color="auto"/>
              <w:right w:val="single" w:sz="4" w:space="0" w:color="auto"/>
            </w:tcBorders>
            <w:shd w:val="clear" w:color="4BACC6" w:fill="4BACC6"/>
            <w:vAlign w:val="center"/>
            <w:hideMark/>
          </w:tcPr>
          <w:p w:rsidR="00F430E2" w:rsidRPr="00E85451" w:rsidRDefault="00F430E2" w:rsidP="00F430E2">
            <w:pPr>
              <w:widowControl/>
              <w:jc w:val="center"/>
              <w:rPr>
                <w:rFonts w:ascii="Arial" w:hAnsi="Arial" w:cs="Arial"/>
                <w:b/>
                <w:bCs/>
                <w:color w:val="auto"/>
                <w:sz w:val="22"/>
                <w:szCs w:val="22"/>
                <w:lang w:val="fr-FR" w:eastAsia="en-GB"/>
              </w:rPr>
            </w:pPr>
            <w:r w:rsidRPr="00E85451">
              <w:rPr>
                <w:rFonts w:ascii="Arial" w:hAnsi="Arial" w:cs="Arial"/>
                <w:b/>
                <w:bCs/>
                <w:color w:val="auto"/>
                <w:sz w:val="22"/>
                <w:szCs w:val="22"/>
                <w:lang w:val="fr-FR" w:eastAsia="en-GB"/>
              </w:rPr>
              <w:t>Vrijednost potpisanih ugovora sa korisnicima (€)</w:t>
            </w:r>
          </w:p>
        </w:tc>
        <w:tc>
          <w:tcPr>
            <w:tcW w:w="1816" w:type="dxa"/>
            <w:tcBorders>
              <w:top w:val="single" w:sz="4" w:space="0" w:color="auto"/>
              <w:left w:val="single" w:sz="4" w:space="0" w:color="auto"/>
              <w:bottom w:val="single" w:sz="4" w:space="0" w:color="auto"/>
              <w:right w:val="single" w:sz="4" w:space="0" w:color="auto"/>
            </w:tcBorders>
            <w:shd w:val="clear" w:color="4BACC6" w:fill="4BACC6"/>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Ugovorenost sredstava (%)</w:t>
            </w:r>
          </w:p>
        </w:tc>
      </w:tr>
      <w:tr w:rsidR="00F430E2" w:rsidRPr="00E85451" w:rsidTr="00F430E2">
        <w:trPr>
          <w:trHeight w:val="300"/>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1</w:t>
            </w:r>
          </w:p>
        </w:tc>
        <w:tc>
          <w:tcPr>
            <w:tcW w:w="2215" w:type="dxa"/>
            <w:tcBorders>
              <w:top w:val="nil"/>
              <w:left w:val="nil"/>
              <w:bottom w:val="single" w:sz="4" w:space="0" w:color="auto"/>
              <w:right w:val="single" w:sz="4" w:space="0" w:color="auto"/>
            </w:tcBorders>
            <w:shd w:val="clear" w:color="000000" w:fill="FFFFFF"/>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2</w:t>
            </w:r>
          </w:p>
        </w:tc>
        <w:tc>
          <w:tcPr>
            <w:tcW w:w="2179" w:type="dxa"/>
            <w:tcBorders>
              <w:top w:val="nil"/>
              <w:left w:val="nil"/>
              <w:bottom w:val="single" w:sz="4" w:space="0" w:color="auto"/>
              <w:right w:val="single" w:sz="4" w:space="0" w:color="auto"/>
            </w:tcBorders>
            <w:shd w:val="clear" w:color="000000" w:fill="FFFFFF"/>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3</w:t>
            </w:r>
          </w:p>
        </w:tc>
        <w:tc>
          <w:tcPr>
            <w:tcW w:w="1834" w:type="dxa"/>
            <w:tcBorders>
              <w:top w:val="nil"/>
              <w:left w:val="nil"/>
              <w:bottom w:val="single" w:sz="4" w:space="0" w:color="auto"/>
              <w:right w:val="single" w:sz="4" w:space="0" w:color="auto"/>
            </w:tcBorders>
            <w:shd w:val="clear" w:color="000000" w:fill="FFFFFF"/>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4</w:t>
            </w:r>
          </w:p>
        </w:tc>
        <w:tc>
          <w:tcPr>
            <w:tcW w:w="1710" w:type="dxa"/>
            <w:tcBorders>
              <w:top w:val="nil"/>
              <w:left w:val="nil"/>
              <w:bottom w:val="single" w:sz="4" w:space="0" w:color="auto"/>
              <w:right w:val="single" w:sz="4" w:space="0" w:color="auto"/>
            </w:tcBorders>
            <w:shd w:val="clear" w:color="000000" w:fill="FFFFFF"/>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5</w:t>
            </w:r>
          </w:p>
        </w:tc>
        <w:tc>
          <w:tcPr>
            <w:tcW w:w="1745" w:type="dxa"/>
            <w:tcBorders>
              <w:top w:val="nil"/>
              <w:left w:val="nil"/>
              <w:bottom w:val="single" w:sz="4" w:space="0" w:color="auto"/>
              <w:right w:val="single" w:sz="4" w:space="0" w:color="auto"/>
            </w:tcBorders>
            <w:shd w:val="clear" w:color="000000" w:fill="FFFFFF"/>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6</w:t>
            </w:r>
          </w:p>
        </w:tc>
        <w:tc>
          <w:tcPr>
            <w:tcW w:w="1754" w:type="dxa"/>
            <w:tcBorders>
              <w:top w:val="nil"/>
              <w:left w:val="nil"/>
              <w:bottom w:val="single" w:sz="4" w:space="0" w:color="auto"/>
              <w:right w:val="single" w:sz="4" w:space="0" w:color="auto"/>
            </w:tcBorders>
            <w:shd w:val="clear" w:color="000000" w:fill="FFFFFF"/>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7</w:t>
            </w:r>
          </w:p>
        </w:tc>
        <w:tc>
          <w:tcPr>
            <w:tcW w:w="1816" w:type="dxa"/>
            <w:tcBorders>
              <w:top w:val="nil"/>
              <w:left w:val="nil"/>
              <w:bottom w:val="single" w:sz="4" w:space="0" w:color="auto"/>
              <w:right w:val="single" w:sz="4" w:space="0" w:color="auto"/>
            </w:tcBorders>
            <w:shd w:val="clear" w:color="000000" w:fill="FFFFFF"/>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8</w:t>
            </w:r>
          </w:p>
        </w:tc>
      </w:tr>
      <w:tr w:rsidR="00F430E2" w:rsidRPr="00E85451" w:rsidTr="00F430E2">
        <w:trPr>
          <w:trHeight w:val="420"/>
        </w:trPr>
        <w:tc>
          <w:tcPr>
            <w:tcW w:w="2142" w:type="dxa"/>
            <w:tcBorders>
              <w:top w:val="nil"/>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Opće obrazovanje </w:t>
            </w:r>
          </w:p>
        </w:tc>
        <w:tc>
          <w:tcPr>
            <w:tcW w:w="2215" w:type="dxa"/>
            <w:tcBorders>
              <w:top w:val="nil"/>
              <w:left w:val="nil"/>
              <w:bottom w:val="single" w:sz="4" w:space="0" w:color="auto"/>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Obrazovna mobilnost pojedinaca (KA101)</w:t>
            </w:r>
          </w:p>
        </w:tc>
        <w:tc>
          <w:tcPr>
            <w:tcW w:w="2179" w:type="dxa"/>
            <w:tcBorders>
              <w:top w:val="nil"/>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Mobilnost osoblja </w:t>
            </w:r>
          </w:p>
        </w:tc>
        <w:tc>
          <w:tcPr>
            <w:tcW w:w="1834" w:type="dxa"/>
            <w:tcBorders>
              <w:top w:val="nil"/>
              <w:left w:val="nil"/>
              <w:bottom w:val="single" w:sz="4" w:space="0" w:color="auto"/>
              <w:right w:val="single" w:sz="4" w:space="0" w:color="auto"/>
            </w:tcBorders>
            <w:shd w:val="clear" w:color="auto" w:fill="auto"/>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360.805,00 € </w:t>
            </w:r>
          </w:p>
        </w:tc>
        <w:tc>
          <w:tcPr>
            <w:tcW w:w="1710" w:type="dxa"/>
            <w:tcBorders>
              <w:top w:val="nil"/>
              <w:left w:val="nil"/>
              <w:bottom w:val="single" w:sz="4" w:space="0" w:color="auto"/>
              <w:right w:val="single" w:sz="4" w:space="0" w:color="auto"/>
            </w:tcBorders>
            <w:shd w:val="clear" w:color="auto" w:fill="auto"/>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79.732,00 € </w:t>
            </w:r>
          </w:p>
        </w:tc>
        <w:tc>
          <w:tcPr>
            <w:tcW w:w="1745" w:type="dxa"/>
            <w:tcBorders>
              <w:top w:val="nil"/>
              <w:left w:val="nil"/>
              <w:bottom w:val="single" w:sz="4" w:space="0" w:color="auto"/>
              <w:right w:val="single" w:sz="4" w:space="0" w:color="auto"/>
            </w:tcBorders>
            <w:shd w:val="clear" w:color="auto" w:fill="auto"/>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440.537,00 € </w:t>
            </w:r>
          </w:p>
        </w:tc>
        <w:tc>
          <w:tcPr>
            <w:tcW w:w="1754" w:type="dxa"/>
            <w:tcBorders>
              <w:top w:val="nil"/>
              <w:left w:val="nil"/>
              <w:bottom w:val="single" w:sz="4" w:space="0" w:color="auto"/>
              <w:right w:val="single" w:sz="4" w:space="0" w:color="auto"/>
            </w:tcBorders>
            <w:shd w:val="clear" w:color="auto" w:fill="auto"/>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439.684,00 € </w:t>
            </w:r>
          </w:p>
        </w:tc>
        <w:tc>
          <w:tcPr>
            <w:tcW w:w="1816" w:type="dxa"/>
            <w:tcBorders>
              <w:top w:val="nil"/>
              <w:left w:val="nil"/>
              <w:bottom w:val="single" w:sz="4" w:space="0" w:color="auto"/>
              <w:right w:val="single" w:sz="4" w:space="0" w:color="auto"/>
            </w:tcBorders>
            <w:shd w:val="clear" w:color="auto" w:fill="auto"/>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r>
      <w:tr w:rsidR="00F430E2" w:rsidRPr="00E85451" w:rsidTr="00F430E2">
        <w:trPr>
          <w:trHeight w:val="210"/>
        </w:trPr>
        <w:tc>
          <w:tcPr>
            <w:tcW w:w="4357" w:type="dxa"/>
            <w:gridSpan w:val="2"/>
            <w:tcBorders>
              <w:top w:val="single" w:sz="4" w:space="0" w:color="auto"/>
              <w:left w:val="single" w:sz="4" w:space="0" w:color="auto"/>
              <w:bottom w:val="single" w:sz="4" w:space="0" w:color="auto"/>
              <w:right w:val="single" w:sz="4" w:space="0" w:color="auto"/>
            </w:tcBorders>
            <w:shd w:val="clear" w:color="FFFFFF"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Total - KA1 Opće obrazovanje </w:t>
            </w:r>
          </w:p>
        </w:tc>
        <w:tc>
          <w:tcPr>
            <w:tcW w:w="2179" w:type="dxa"/>
            <w:tcBorders>
              <w:top w:val="nil"/>
              <w:left w:val="nil"/>
              <w:bottom w:val="single" w:sz="4" w:space="0" w:color="auto"/>
              <w:right w:val="single" w:sz="4" w:space="0" w:color="auto"/>
            </w:tcBorders>
            <w:shd w:val="clear" w:color="FFFFFF"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834" w:type="dxa"/>
            <w:tcBorders>
              <w:top w:val="nil"/>
              <w:left w:val="nil"/>
              <w:bottom w:val="single" w:sz="4" w:space="0" w:color="auto"/>
              <w:right w:val="single" w:sz="4" w:space="0" w:color="auto"/>
            </w:tcBorders>
            <w:shd w:val="clear" w:color="000000"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360.805,00 € </w:t>
            </w:r>
          </w:p>
        </w:tc>
        <w:tc>
          <w:tcPr>
            <w:tcW w:w="1710" w:type="dxa"/>
            <w:tcBorders>
              <w:top w:val="nil"/>
              <w:left w:val="nil"/>
              <w:bottom w:val="single" w:sz="4" w:space="0" w:color="auto"/>
              <w:right w:val="single" w:sz="4" w:space="0" w:color="auto"/>
            </w:tcBorders>
            <w:shd w:val="clear" w:color="000000" w:fill="4BACC6"/>
            <w:noWrap/>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79.732,00 € </w:t>
            </w:r>
          </w:p>
        </w:tc>
        <w:tc>
          <w:tcPr>
            <w:tcW w:w="1745" w:type="dxa"/>
            <w:tcBorders>
              <w:top w:val="nil"/>
              <w:left w:val="nil"/>
              <w:bottom w:val="single" w:sz="4" w:space="0" w:color="auto"/>
              <w:right w:val="single" w:sz="4" w:space="0" w:color="auto"/>
            </w:tcBorders>
            <w:shd w:val="clear" w:color="000000"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440.537,00 € </w:t>
            </w:r>
          </w:p>
        </w:tc>
        <w:tc>
          <w:tcPr>
            <w:tcW w:w="1754" w:type="dxa"/>
            <w:tcBorders>
              <w:top w:val="nil"/>
              <w:left w:val="nil"/>
              <w:bottom w:val="single" w:sz="4" w:space="0" w:color="auto"/>
              <w:right w:val="single" w:sz="4" w:space="0" w:color="auto"/>
            </w:tcBorders>
            <w:shd w:val="clear" w:color="000000"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439.684,00 € </w:t>
            </w:r>
          </w:p>
        </w:tc>
        <w:tc>
          <w:tcPr>
            <w:tcW w:w="1816" w:type="dxa"/>
            <w:tcBorders>
              <w:top w:val="nil"/>
              <w:left w:val="nil"/>
              <w:bottom w:val="single" w:sz="4" w:space="0" w:color="auto"/>
              <w:right w:val="single" w:sz="4" w:space="0" w:color="auto"/>
            </w:tcBorders>
            <w:shd w:val="clear" w:color="000000" w:fill="4BACC6"/>
            <w:noWrap/>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99,8%</w:t>
            </w:r>
          </w:p>
        </w:tc>
      </w:tr>
      <w:tr w:rsidR="00F430E2" w:rsidRPr="00E85451" w:rsidTr="00F430E2">
        <w:trPr>
          <w:trHeight w:val="300"/>
        </w:trPr>
        <w:tc>
          <w:tcPr>
            <w:tcW w:w="2142" w:type="dxa"/>
            <w:vMerge w:val="restart"/>
            <w:tcBorders>
              <w:top w:val="nil"/>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Visoko obrazovanje</w:t>
            </w:r>
          </w:p>
        </w:tc>
        <w:tc>
          <w:tcPr>
            <w:tcW w:w="2215" w:type="dxa"/>
            <w:vMerge w:val="restart"/>
            <w:tcBorders>
              <w:top w:val="nil"/>
              <w:left w:val="single" w:sz="4" w:space="0" w:color="auto"/>
              <w:bottom w:val="single" w:sz="4" w:space="0" w:color="000000"/>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Obrazovna mobilnost pojedinaca (KA103)</w:t>
            </w:r>
          </w:p>
        </w:tc>
        <w:tc>
          <w:tcPr>
            <w:tcW w:w="2179" w:type="dxa"/>
            <w:tcBorders>
              <w:top w:val="nil"/>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Mobilnost osoblja </w:t>
            </w:r>
          </w:p>
        </w:tc>
        <w:tc>
          <w:tcPr>
            <w:tcW w:w="1834" w:type="dxa"/>
            <w:tcBorders>
              <w:top w:val="nil"/>
              <w:left w:val="nil"/>
              <w:bottom w:val="single" w:sz="4" w:space="0" w:color="auto"/>
              <w:right w:val="single" w:sz="4" w:space="0" w:color="auto"/>
            </w:tcBorders>
            <w:shd w:val="clear" w:color="auto" w:fill="auto"/>
            <w:noWrap/>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338.451,00 € </w:t>
            </w:r>
          </w:p>
        </w:tc>
        <w:tc>
          <w:tcPr>
            <w:tcW w:w="1710" w:type="dxa"/>
            <w:tcBorders>
              <w:top w:val="nil"/>
              <w:left w:val="nil"/>
              <w:bottom w:val="single" w:sz="4" w:space="0" w:color="auto"/>
              <w:right w:val="single" w:sz="4" w:space="0" w:color="auto"/>
            </w:tcBorders>
            <w:shd w:val="clear" w:color="auto" w:fill="auto"/>
            <w:noWrap/>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384.594,00 € </w:t>
            </w:r>
          </w:p>
        </w:tc>
        <w:tc>
          <w:tcPr>
            <w:tcW w:w="1745" w:type="dxa"/>
            <w:tcBorders>
              <w:top w:val="nil"/>
              <w:left w:val="nil"/>
              <w:bottom w:val="single" w:sz="4" w:space="0" w:color="auto"/>
              <w:right w:val="single" w:sz="4" w:space="0" w:color="auto"/>
            </w:tcBorders>
            <w:shd w:val="clear" w:color="auto" w:fill="auto"/>
            <w:noWrap/>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723.045,00 € </w:t>
            </w:r>
          </w:p>
        </w:tc>
        <w:tc>
          <w:tcPr>
            <w:tcW w:w="1754" w:type="dxa"/>
            <w:tcBorders>
              <w:top w:val="nil"/>
              <w:left w:val="nil"/>
              <w:bottom w:val="nil"/>
              <w:right w:val="single" w:sz="4" w:space="0" w:color="auto"/>
            </w:tcBorders>
            <w:shd w:val="clear" w:color="auto" w:fill="auto"/>
            <w:noWrap/>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n/a </w:t>
            </w:r>
          </w:p>
        </w:tc>
        <w:tc>
          <w:tcPr>
            <w:tcW w:w="1816" w:type="dxa"/>
            <w:tcBorders>
              <w:top w:val="nil"/>
              <w:left w:val="nil"/>
              <w:bottom w:val="nil"/>
              <w:right w:val="single" w:sz="4" w:space="0" w:color="auto"/>
            </w:tcBorders>
            <w:shd w:val="clear" w:color="auto" w:fill="auto"/>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r>
      <w:tr w:rsidR="00F430E2" w:rsidRPr="00E85451" w:rsidTr="00F430E2">
        <w:trPr>
          <w:trHeight w:val="300"/>
        </w:trPr>
        <w:tc>
          <w:tcPr>
            <w:tcW w:w="2142" w:type="dxa"/>
            <w:vMerge/>
            <w:tcBorders>
              <w:top w:val="nil"/>
              <w:left w:val="single" w:sz="4" w:space="0" w:color="auto"/>
              <w:bottom w:val="single" w:sz="4" w:space="0" w:color="auto"/>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2215" w:type="dxa"/>
            <w:vMerge/>
            <w:tcBorders>
              <w:top w:val="nil"/>
              <w:left w:val="single" w:sz="4" w:space="0" w:color="auto"/>
              <w:bottom w:val="single" w:sz="4" w:space="0" w:color="000000"/>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217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Mobilnost studenata </w:t>
            </w:r>
          </w:p>
        </w:tc>
        <w:tc>
          <w:tcPr>
            <w:tcW w:w="1834"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4.440.027,00 € </w:t>
            </w:r>
          </w:p>
        </w:tc>
        <w:tc>
          <w:tcPr>
            <w:tcW w:w="1710"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382.546,00 € </w:t>
            </w:r>
          </w:p>
        </w:tc>
        <w:tc>
          <w:tcPr>
            <w:tcW w:w="1745"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4.057.481,00 € </w:t>
            </w:r>
          </w:p>
        </w:tc>
        <w:tc>
          <w:tcPr>
            <w:tcW w:w="1754"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816" w:type="dxa"/>
            <w:tcBorders>
              <w:top w:val="nil"/>
              <w:left w:val="single" w:sz="4" w:space="0" w:color="auto"/>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r>
      <w:tr w:rsidR="00F430E2" w:rsidRPr="00E85451" w:rsidTr="00F430E2">
        <w:trPr>
          <w:trHeight w:val="210"/>
        </w:trPr>
        <w:tc>
          <w:tcPr>
            <w:tcW w:w="4357" w:type="dxa"/>
            <w:gridSpan w:val="2"/>
            <w:tcBorders>
              <w:top w:val="single" w:sz="4" w:space="0" w:color="auto"/>
              <w:left w:val="single" w:sz="4" w:space="0" w:color="auto"/>
              <w:bottom w:val="single" w:sz="4" w:space="0" w:color="auto"/>
              <w:right w:val="single" w:sz="4" w:space="0" w:color="000000"/>
            </w:tcBorders>
            <w:shd w:val="clear" w:color="FFFFFF"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Total - KA1 Visoko obrazovanje</w:t>
            </w:r>
          </w:p>
        </w:tc>
        <w:tc>
          <w:tcPr>
            <w:tcW w:w="2179" w:type="dxa"/>
            <w:tcBorders>
              <w:top w:val="nil"/>
              <w:left w:val="nil"/>
              <w:bottom w:val="single" w:sz="4" w:space="0" w:color="auto"/>
              <w:right w:val="single" w:sz="4" w:space="0" w:color="auto"/>
            </w:tcBorders>
            <w:shd w:val="clear" w:color="FFFFFF"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834" w:type="dxa"/>
            <w:tcBorders>
              <w:top w:val="nil"/>
              <w:left w:val="nil"/>
              <w:bottom w:val="single" w:sz="4" w:space="0" w:color="auto"/>
              <w:right w:val="single" w:sz="4" w:space="0" w:color="auto"/>
            </w:tcBorders>
            <w:shd w:val="clear" w:color="000000"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4.778.478,00 € </w:t>
            </w:r>
          </w:p>
        </w:tc>
        <w:tc>
          <w:tcPr>
            <w:tcW w:w="1710" w:type="dxa"/>
            <w:tcBorders>
              <w:top w:val="nil"/>
              <w:left w:val="nil"/>
              <w:bottom w:val="single" w:sz="4" w:space="0" w:color="auto"/>
              <w:right w:val="single" w:sz="4" w:space="0" w:color="auto"/>
            </w:tcBorders>
            <w:shd w:val="clear" w:color="000000"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745" w:type="dxa"/>
            <w:tcBorders>
              <w:top w:val="nil"/>
              <w:left w:val="nil"/>
              <w:bottom w:val="single" w:sz="4" w:space="0" w:color="auto"/>
              <w:right w:val="single" w:sz="4" w:space="0" w:color="auto"/>
            </w:tcBorders>
            <w:shd w:val="clear" w:color="000000"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4.780.526,00 € </w:t>
            </w:r>
          </w:p>
        </w:tc>
        <w:tc>
          <w:tcPr>
            <w:tcW w:w="1754" w:type="dxa"/>
            <w:tcBorders>
              <w:top w:val="nil"/>
              <w:left w:val="nil"/>
              <w:bottom w:val="single" w:sz="4" w:space="0" w:color="auto"/>
              <w:right w:val="single" w:sz="4" w:space="0" w:color="auto"/>
            </w:tcBorders>
            <w:shd w:val="clear" w:color="000000"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4.726.318,00 € </w:t>
            </w:r>
          </w:p>
        </w:tc>
        <w:tc>
          <w:tcPr>
            <w:tcW w:w="1816" w:type="dxa"/>
            <w:tcBorders>
              <w:top w:val="nil"/>
              <w:left w:val="nil"/>
              <w:bottom w:val="single" w:sz="4" w:space="0" w:color="auto"/>
              <w:right w:val="single" w:sz="4" w:space="0" w:color="auto"/>
            </w:tcBorders>
            <w:shd w:val="clear" w:color="000000" w:fill="4BACC6"/>
            <w:noWrap/>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98,9%</w:t>
            </w:r>
          </w:p>
        </w:tc>
      </w:tr>
      <w:tr w:rsidR="00F430E2" w:rsidRPr="00E85451" w:rsidTr="00F430E2">
        <w:trPr>
          <w:trHeight w:val="300"/>
        </w:trPr>
        <w:tc>
          <w:tcPr>
            <w:tcW w:w="2142" w:type="dxa"/>
            <w:vMerge w:val="restart"/>
            <w:tcBorders>
              <w:top w:val="nil"/>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Strukovno obrazovanje i osposobljavanje</w:t>
            </w:r>
          </w:p>
        </w:tc>
        <w:tc>
          <w:tcPr>
            <w:tcW w:w="2215" w:type="dxa"/>
            <w:vMerge w:val="restart"/>
            <w:tcBorders>
              <w:top w:val="nil"/>
              <w:left w:val="single" w:sz="4" w:space="0" w:color="auto"/>
              <w:bottom w:val="single" w:sz="4" w:space="0" w:color="000000"/>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Obrazovna mobilnost pojedinaca (KA102)</w:t>
            </w:r>
          </w:p>
        </w:tc>
        <w:tc>
          <w:tcPr>
            <w:tcW w:w="217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Mobilnost osoblja </w:t>
            </w:r>
          </w:p>
        </w:tc>
        <w:tc>
          <w:tcPr>
            <w:tcW w:w="1834" w:type="dxa"/>
            <w:tcBorders>
              <w:top w:val="nil"/>
              <w:left w:val="nil"/>
              <w:bottom w:val="single" w:sz="4" w:space="0" w:color="auto"/>
              <w:right w:val="single" w:sz="4" w:space="0" w:color="auto"/>
            </w:tcBorders>
            <w:shd w:val="clear" w:color="000000" w:fill="FFFFFF"/>
            <w:noWrap/>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173.559,00 € </w:t>
            </w:r>
          </w:p>
        </w:tc>
        <w:tc>
          <w:tcPr>
            <w:tcW w:w="1710" w:type="dxa"/>
            <w:tcBorders>
              <w:top w:val="nil"/>
              <w:left w:val="nil"/>
              <w:bottom w:val="single" w:sz="4" w:space="0" w:color="auto"/>
              <w:right w:val="single" w:sz="4" w:space="0" w:color="auto"/>
            </w:tcBorders>
            <w:shd w:val="clear" w:color="000000" w:fill="FFFFFF"/>
            <w:noWrap/>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196.811,00 € </w:t>
            </w:r>
          </w:p>
        </w:tc>
        <w:tc>
          <w:tcPr>
            <w:tcW w:w="1745" w:type="dxa"/>
            <w:tcBorders>
              <w:top w:val="nil"/>
              <w:left w:val="nil"/>
              <w:bottom w:val="single" w:sz="4" w:space="0" w:color="auto"/>
              <w:right w:val="single" w:sz="4" w:space="0" w:color="auto"/>
            </w:tcBorders>
            <w:shd w:val="clear" w:color="000000" w:fill="FFFFFF"/>
            <w:noWrap/>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370.370,00 € </w:t>
            </w:r>
          </w:p>
        </w:tc>
        <w:tc>
          <w:tcPr>
            <w:tcW w:w="1754" w:type="dxa"/>
            <w:tcBorders>
              <w:top w:val="nil"/>
              <w:left w:val="nil"/>
              <w:bottom w:val="nil"/>
              <w:right w:val="single" w:sz="4" w:space="0" w:color="auto"/>
            </w:tcBorders>
            <w:shd w:val="clear" w:color="000000" w:fill="FFFFFF"/>
            <w:noWrap/>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n/a </w:t>
            </w:r>
          </w:p>
        </w:tc>
        <w:tc>
          <w:tcPr>
            <w:tcW w:w="1816" w:type="dxa"/>
            <w:tcBorders>
              <w:top w:val="nil"/>
              <w:left w:val="nil"/>
              <w:bottom w:val="nil"/>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r>
      <w:tr w:rsidR="00F430E2" w:rsidRPr="00E85451" w:rsidTr="00F430E2">
        <w:trPr>
          <w:trHeight w:val="300"/>
        </w:trPr>
        <w:tc>
          <w:tcPr>
            <w:tcW w:w="2142" w:type="dxa"/>
            <w:vMerge/>
            <w:tcBorders>
              <w:top w:val="nil"/>
              <w:left w:val="single" w:sz="4" w:space="0" w:color="auto"/>
              <w:bottom w:val="single" w:sz="4" w:space="0" w:color="auto"/>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2215" w:type="dxa"/>
            <w:vMerge/>
            <w:tcBorders>
              <w:top w:val="nil"/>
              <w:left w:val="single" w:sz="4" w:space="0" w:color="auto"/>
              <w:bottom w:val="single" w:sz="4" w:space="0" w:color="000000"/>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217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Mobilnost učenika </w:t>
            </w:r>
          </w:p>
        </w:tc>
        <w:tc>
          <w:tcPr>
            <w:tcW w:w="1834" w:type="dxa"/>
            <w:tcBorders>
              <w:top w:val="nil"/>
              <w:left w:val="nil"/>
              <w:bottom w:val="single" w:sz="4" w:space="0" w:color="auto"/>
              <w:right w:val="single" w:sz="4" w:space="0" w:color="auto"/>
            </w:tcBorders>
            <w:shd w:val="clear" w:color="000000" w:fill="FFFFFF"/>
            <w:noWrap/>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2.103.285,00 € </w:t>
            </w:r>
          </w:p>
        </w:tc>
        <w:tc>
          <w:tcPr>
            <w:tcW w:w="1710" w:type="dxa"/>
            <w:tcBorders>
              <w:top w:val="nil"/>
              <w:left w:val="nil"/>
              <w:bottom w:val="single" w:sz="4" w:space="0" w:color="auto"/>
              <w:right w:val="single" w:sz="4" w:space="0" w:color="auto"/>
            </w:tcBorders>
            <w:shd w:val="clear" w:color="000000" w:fill="FFFFFF"/>
            <w:noWrap/>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240.751,00 € </w:t>
            </w:r>
          </w:p>
        </w:tc>
        <w:tc>
          <w:tcPr>
            <w:tcW w:w="1745" w:type="dxa"/>
            <w:tcBorders>
              <w:top w:val="nil"/>
              <w:left w:val="nil"/>
              <w:bottom w:val="single" w:sz="4" w:space="0" w:color="auto"/>
              <w:right w:val="single" w:sz="4" w:space="0" w:color="auto"/>
            </w:tcBorders>
            <w:shd w:val="clear" w:color="000000" w:fill="FFFFFF"/>
            <w:noWrap/>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1.862.534,00 € </w:t>
            </w:r>
          </w:p>
        </w:tc>
        <w:tc>
          <w:tcPr>
            <w:tcW w:w="1754" w:type="dxa"/>
            <w:tcBorders>
              <w:top w:val="nil"/>
              <w:left w:val="nil"/>
              <w:bottom w:val="single" w:sz="4" w:space="0" w:color="auto"/>
              <w:right w:val="single" w:sz="4" w:space="0" w:color="auto"/>
            </w:tcBorders>
            <w:shd w:val="clear" w:color="000000" w:fill="FFFFFF"/>
            <w:noWrap/>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 </w:t>
            </w:r>
          </w:p>
        </w:tc>
        <w:tc>
          <w:tcPr>
            <w:tcW w:w="1816"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 </w:t>
            </w:r>
          </w:p>
        </w:tc>
      </w:tr>
      <w:tr w:rsidR="00F430E2" w:rsidRPr="00E85451" w:rsidTr="00F430E2">
        <w:trPr>
          <w:trHeight w:val="210"/>
        </w:trPr>
        <w:tc>
          <w:tcPr>
            <w:tcW w:w="4357" w:type="dxa"/>
            <w:gridSpan w:val="2"/>
            <w:tcBorders>
              <w:top w:val="single" w:sz="4" w:space="0" w:color="auto"/>
              <w:left w:val="single" w:sz="4" w:space="0" w:color="auto"/>
              <w:bottom w:val="single" w:sz="4" w:space="0" w:color="auto"/>
              <w:right w:val="single" w:sz="4" w:space="0" w:color="auto"/>
            </w:tcBorders>
            <w:shd w:val="clear" w:color="FFFFFF" w:fill="4BACC6"/>
            <w:noWrap/>
            <w:vAlign w:val="center"/>
            <w:hideMark/>
          </w:tcPr>
          <w:p w:rsidR="00F430E2" w:rsidRPr="00E85451" w:rsidRDefault="00F430E2" w:rsidP="00F430E2">
            <w:pPr>
              <w:widowControl/>
              <w:rPr>
                <w:rFonts w:ascii="Arial" w:hAnsi="Arial" w:cs="Arial"/>
                <w:color w:val="auto"/>
                <w:sz w:val="22"/>
                <w:szCs w:val="22"/>
                <w:lang w:eastAsia="en-GB"/>
              </w:rPr>
            </w:pPr>
            <w:r w:rsidRPr="00E85451">
              <w:rPr>
                <w:rFonts w:ascii="Arial" w:hAnsi="Arial" w:cs="Arial"/>
                <w:color w:val="auto"/>
                <w:sz w:val="22"/>
                <w:szCs w:val="22"/>
                <w:lang w:eastAsia="en-GB"/>
              </w:rPr>
              <w:t xml:space="preserve">Total - KA1 Strukovno obrazovanje i osposobljavanje </w:t>
            </w:r>
          </w:p>
        </w:tc>
        <w:tc>
          <w:tcPr>
            <w:tcW w:w="2179" w:type="dxa"/>
            <w:tcBorders>
              <w:top w:val="nil"/>
              <w:left w:val="nil"/>
              <w:bottom w:val="single" w:sz="4" w:space="0" w:color="auto"/>
              <w:right w:val="single" w:sz="4" w:space="0" w:color="auto"/>
            </w:tcBorders>
            <w:shd w:val="clear" w:color="FFFFFF" w:fill="4BACC6"/>
            <w:vAlign w:val="center"/>
            <w:hideMark/>
          </w:tcPr>
          <w:p w:rsidR="00F430E2" w:rsidRPr="00E85451" w:rsidRDefault="00F430E2" w:rsidP="00F430E2">
            <w:pPr>
              <w:widowControl/>
              <w:rPr>
                <w:rFonts w:ascii="Arial" w:hAnsi="Arial" w:cs="Arial"/>
                <w:color w:val="auto"/>
                <w:sz w:val="22"/>
                <w:szCs w:val="22"/>
                <w:lang w:eastAsia="en-GB"/>
              </w:rPr>
            </w:pPr>
            <w:r w:rsidRPr="00E85451">
              <w:rPr>
                <w:rFonts w:ascii="Arial" w:hAnsi="Arial" w:cs="Arial"/>
                <w:color w:val="auto"/>
                <w:sz w:val="22"/>
                <w:szCs w:val="22"/>
                <w:lang w:eastAsia="en-GB"/>
              </w:rPr>
              <w:t> </w:t>
            </w:r>
          </w:p>
        </w:tc>
        <w:tc>
          <w:tcPr>
            <w:tcW w:w="1834" w:type="dxa"/>
            <w:tcBorders>
              <w:top w:val="nil"/>
              <w:left w:val="nil"/>
              <w:bottom w:val="single" w:sz="4" w:space="0" w:color="auto"/>
              <w:right w:val="single" w:sz="4" w:space="0" w:color="auto"/>
            </w:tcBorders>
            <w:shd w:val="clear" w:color="000000"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eastAsia="en-GB"/>
              </w:rPr>
              <w:t xml:space="preserve">       </w:t>
            </w:r>
            <w:r w:rsidRPr="00E85451">
              <w:rPr>
                <w:rFonts w:ascii="Arial" w:hAnsi="Arial" w:cs="Arial"/>
                <w:color w:val="auto"/>
                <w:sz w:val="22"/>
                <w:szCs w:val="22"/>
                <w:lang w:val="en-GB" w:eastAsia="en-GB"/>
              </w:rPr>
              <w:t xml:space="preserve">2.276.844,00 € </w:t>
            </w:r>
          </w:p>
        </w:tc>
        <w:tc>
          <w:tcPr>
            <w:tcW w:w="1710" w:type="dxa"/>
            <w:tcBorders>
              <w:top w:val="nil"/>
              <w:left w:val="nil"/>
              <w:bottom w:val="single" w:sz="4" w:space="0" w:color="auto"/>
              <w:right w:val="single" w:sz="4" w:space="0" w:color="auto"/>
            </w:tcBorders>
            <w:shd w:val="clear" w:color="000000"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745" w:type="dxa"/>
            <w:tcBorders>
              <w:top w:val="nil"/>
              <w:left w:val="nil"/>
              <w:bottom w:val="single" w:sz="4" w:space="0" w:color="auto"/>
              <w:right w:val="single" w:sz="4" w:space="0" w:color="auto"/>
            </w:tcBorders>
            <w:shd w:val="clear" w:color="000000"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2.232.904,00 € </w:t>
            </w:r>
          </w:p>
        </w:tc>
        <w:tc>
          <w:tcPr>
            <w:tcW w:w="1754" w:type="dxa"/>
            <w:tcBorders>
              <w:top w:val="nil"/>
              <w:left w:val="nil"/>
              <w:bottom w:val="single" w:sz="4" w:space="0" w:color="auto"/>
              <w:right w:val="single" w:sz="4" w:space="0" w:color="auto"/>
            </w:tcBorders>
            <w:shd w:val="clear" w:color="000000"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2.232.904,00 € </w:t>
            </w:r>
          </w:p>
        </w:tc>
        <w:tc>
          <w:tcPr>
            <w:tcW w:w="1816" w:type="dxa"/>
            <w:tcBorders>
              <w:top w:val="single" w:sz="4" w:space="0" w:color="auto"/>
              <w:left w:val="single" w:sz="4" w:space="0" w:color="auto"/>
              <w:bottom w:val="single" w:sz="4" w:space="0" w:color="auto"/>
              <w:right w:val="single" w:sz="4" w:space="0" w:color="auto"/>
            </w:tcBorders>
            <w:shd w:val="clear" w:color="000000" w:fill="4BACC6"/>
            <w:noWrap/>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100%</w:t>
            </w:r>
          </w:p>
        </w:tc>
      </w:tr>
      <w:tr w:rsidR="00F430E2" w:rsidRPr="00E85451" w:rsidTr="00F430E2">
        <w:trPr>
          <w:trHeight w:val="420"/>
        </w:trPr>
        <w:tc>
          <w:tcPr>
            <w:tcW w:w="2142" w:type="dxa"/>
            <w:tcBorders>
              <w:top w:val="nil"/>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lastRenderedPageBreak/>
              <w:t xml:space="preserve">Obrazovanje odraslih </w:t>
            </w:r>
          </w:p>
        </w:tc>
        <w:tc>
          <w:tcPr>
            <w:tcW w:w="2215" w:type="dxa"/>
            <w:tcBorders>
              <w:top w:val="nil"/>
              <w:left w:val="nil"/>
              <w:bottom w:val="single" w:sz="4" w:space="0" w:color="auto"/>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Obrazovna mobilnost pojedinaca (KA104)</w:t>
            </w:r>
          </w:p>
        </w:tc>
        <w:tc>
          <w:tcPr>
            <w:tcW w:w="217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Mobilnost osoblja </w:t>
            </w:r>
          </w:p>
        </w:tc>
        <w:tc>
          <w:tcPr>
            <w:tcW w:w="1834" w:type="dxa"/>
            <w:tcBorders>
              <w:top w:val="nil"/>
              <w:left w:val="nil"/>
              <w:bottom w:val="single" w:sz="4" w:space="0" w:color="auto"/>
              <w:right w:val="single" w:sz="4" w:space="0" w:color="auto"/>
            </w:tcBorders>
            <w:shd w:val="clear" w:color="auto" w:fill="auto"/>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54.319,00 € </w:t>
            </w:r>
          </w:p>
        </w:tc>
        <w:tc>
          <w:tcPr>
            <w:tcW w:w="1710" w:type="dxa"/>
            <w:tcBorders>
              <w:top w:val="nil"/>
              <w:left w:val="nil"/>
              <w:bottom w:val="single" w:sz="4" w:space="0" w:color="auto"/>
              <w:right w:val="single" w:sz="4" w:space="0" w:color="auto"/>
            </w:tcBorders>
            <w:shd w:val="clear" w:color="auto" w:fill="auto"/>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85.493,00 € </w:t>
            </w:r>
          </w:p>
        </w:tc>
        <w:tc>
          <w:tcPr>
            <w:tcW w:w="1745" w:type="dxa"/>
            <w:tcBorders>
              <w:top w:val="nil"/>
              <w:left w:val="nil"/>
              <w:bottom w:val="single" w:sz="4" w:space="0" w:color="auto"/>
              <w:right w:val="single" w:sz="4" w:space="0" w:color="auto"/>
            </w:tcBorders>
            <w:shd w:val="clear" w:color="auto" w:fill="auto"/>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139.812,00 € </w:t>
            </w:r>
          </w:p>
        </w:tc>
        <w:tc>
          <w:tcPr>
            <w:tcW w:w="1754" w:type="dxa"/>
            <w:tcBorders>
              <w:top w:val="nil"/>
              <w:left w:val="nil"/>
              <w:bottom w:val="single" w:sz="4" w:space="0" w:color="auto"/>
              <w:right w:val="single" w:sz="4" w:space="0" w:color="auto"/>
            </w:tcBorders>
            <w:shd w:val="clear" w:color="auto" w:fill="auto"/>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139.812,00 € </w:t>
            </w:r>
          </w:p>
        </w:tc>
        <w:tc>
          <w:tcPr>
            <w:tcW w:w="1816" w:type="dxa"/>
            <w:tcBorders>
              <w:top w:val="nil"/>
              <w:left w:val="nil"/>
              <w:bottom w:val="single" w:sz="4" w:space="0" w:color="auto"/>
              <w:right w:val="single" w:sz="4" w:space="0" w:color="auto"/>
            </w:tcBorders>
            <w:shd w:val="clear" w:color="auto" w:fill="auto"/>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r>
      <w:tr w:rsidR="00F430E2" w:rsidRPr="00E85451" w:rsidTr="00F430E2">
        <w:trPr>
          <w:trHeight w:val="210"/>
        </w:trPr>
        <w:tc>
          <w:tcPr>
            <w:tcW w:w="4357" w:type="dxa"/>
            <w:gridSpan w:val="2"/>
            <w:tcBorders>
              <w:top w:val="single" w:sz="4" w:space="0" w:color="auto"/>
              <w:left w:val="single" w:sz="4" w:space="0" w:color="auto"/>
              <w:bottom w:val="single" w:sz="4" w:space="0" w:color="auto"/>
              <w:right w:val="single" w:sz="4" w:space="0" w:color="000000"/>
            </w:tcBorders>
            <w:shd w:val="clear" w:color="FFFFFF" w:fill="4BACC6"/>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Total - KA1 Obrazovanje odraslih</w:t>
            </w:r>
          </w:p>
        </w:tc>
        <w:tc>
          <w:tcPr>
            <w:tcW w:w="2179" w:type="dxa"/>
            <w:tcBorders>
              <w:top w:val="nil"/>
              <w:left w:val="nil"/>
              <w:bottom w:val="single" w:sz="4" w:space="0" w:color="auto"/>
              <w:right w:val="single" w:sz="4" w:space="0" w:color="auto"/>
            </w:tcBorders>
            <w:shd w:val="clear" w:color="000000" w:fill="4BACC6"/>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834" w:type="dxa"/>
            <w:tcBorders>
              <w:top w:val="nil"/>
              <w:left w:val="nil"/>
              <w:bottom w:val="single" w:sz="4" w:space="0" w:color="auto"/>
              <w:right w:val="single" w:sz="4" w:space="0" w:color="auto"/>
            </w:tcBorders>
            <w:shd w:val="clear" w:color="000000" w:fill="4BACC6"/>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54.319,00 € </w:t>
            </w:r>
          </w:p>
        </w:tc>
        <w:tc>
          <w:tcPr>
            <w:tcW w:w="1710" w:type="dxa"/>
            <w:tcBorders>
              <w:top w:val="nil"/>
              <w:left w:val="nil"/>
              <w:bottom w:val="single" w:sz="4" w:space="0" w:color="auto"/>
              <w:right w:val="single" w:sz="4" w:space="0" w:color="auto"/>
            </w:tcBorders>
            <w:shd w:val="clear" w:color="000000" w:fill="4BACC6"/>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85.493,00 € </w:t>
            </w:r>
          </w:p>
        </w:tc>
        <w:tc>
          <w:tcPr>
            <w:tcW w:w="1745" w:type="dxa"/>
            <w:tcBorders>
              <w:top w:val="nil"/>
              <w:left w:val="nil"/>
              <w:bottom w:val="single" w:sz="4" w:space="0" w:color="auto"/>
              <w:right w:val="single" w:sz="4" w:space="0" w:color="auto"/>
            </w:tcBorders>
            <w:shd w:val="clear" w:color="000000" w:fill="4BACC6"/>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139.812,00 € </w:t>
            </w:r>
          </w:p>
        </w:tc>
        <w:tc>
          <w:tcPr>
            <w:tcW w:w="1754" w:type="dxa"/>
            <w:tcBorders>
              <w:top w:val="nil"/>
              <w:left w:val="nil"/>
              <w:bottom w:val="single" w:sz="4" w:space="0" w:color="auto"/>
              <w:right w:val="single" w:sz="4" w:space="0" w:color="auto"/>
            </w:tcBorders>
            <w:shd w:val="clear" w:color="000000" w:fill="4BACC6"/>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139.812,00 € </w:t>
            </w:r>
          </w:p>
        </w:tc>
        <w:tc>
          <w:tcPr>
            <w:tcW w:w="1816" w:type="dxa"/>
            <w:tcBorders>
              <w:top w:val="single" w:sz="4" w:space="0" w:color="auto"/>
              <w:left w:val="single" w:sz="4" w:space="0" w:color="auto"/>
              <w:bottom w:val="single" w:sz="4" w:space="0" w:color="auto"/>
              <w:right w:val="single" w:sz="4" w:space="0" w:color="auto"/>
            </w:tcBorders>
            <w:shd w:val="clear" w:color="000000" w:fill="4BACC6"/>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100%</w:t>
            </w:r>
          </w:p>
        </w:tc>
      </w:tr>
      <w:tr w:rsidR="00F430E2" w:rsidRPr="00E85451" w:rsidTr="00F430E2">
        <w:trPr>
          <w:trHeight w:val="300"/>
        </w:trPr>
        <w:tc>
          <w:tcPr>
            <w:tcW w:w="2142" w:type="dxa"/>
            <w:vMerge w:val="restart"/>
            <w:tcBorders>
              <w:top w:val="nil"/>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Mladi </w:t>
            </w:r>
          </w:p>
        </w:tc>
        <w:tc>
          <w:tcPr>
            <w:tcW w:w="2215" w:type="dxa"/>
            <w:vMerge w:val="restart"/>
            <w:tcBorders>
              <w:top w:val="nil"/>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Obrazovna mobilnost pojedinaca (KA105)</w:t>
            </w:r>
          </w:p>
        </w:tc>
        <w:tc>
          <w:tcPr>
            <w:tcW w:w="217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Razmjene mladih</w:t>
            </w:r>
          </w:p>
        </w:tc>
        <w:tc>
          <w:tcPr>
            <w:tcW w:w="1834"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882.812,00 € </w:t>
            </w:r>
          </w:p>
        </w:tc>
        <w:tc>
          <w:tcPr>
            <w:tcW w:w="1710"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139.164,25 € </w:t>
            </w:r>
          </w:p>
        </w:tc>
        <w:tc>
          <w:tcPr>
            <w:tcW w:w="1745"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1.021.976,25 € </w:t>
            </w:r>
          </w:p>
        </w:tc>
        <w:tc>
          <w:tcPr>
            <w:tcW w:w="1754"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1.015.844,00 € </w:t>
            </w:r>
          </w:p>
        </w:tc>
        <w:tc>
          <w:tcPr>
            <w:tcW w:w="1816"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99,4%</w:t>
            </w:r>
          </w:p>
        </w:tc>
      </w:tr>
      <w:tr w:rsidR="00F430E2" w:rsidRPr="00E85451" w:rsidTr="00F430E2">
        <w:trPr>
          <w:trHeight w:val="420"/>
        </w:trPr>
        <w:tc>
          <w:tcPr>
            <w:tcW w:w="2142" w:type="dxa"/>
            <w:vMerge/>
            <w:tcBorders>
              <w:top w:val="nil"/>
              <w:left w:val="single" w:sz="4" w:space="0" w:color="auto"/>
              <w:bottom w:val="single" w:sz="4" w:space="0" w:color="auto"/>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2215" w:type="dxa"/>
            <w:vMerge/>
            <w:tcBorders>
              <w:top w:val="nil"/>
              <w:left w:val="single" w:sz="4" w:space="0" w:color="auto"/>
              <w:bottom w:val="single" w:sz="4" w:space="0" w:color="auto"/>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217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Europska volonterska služba - projekti</w:t>
            </w:r>
          </w:p>
        </w:tc>
        <w:tc>
          <w:tcPr>
            <w:tcW w:w="1834"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980.000,00 € </w:t>
            </w:r>
          </w:p>
        </w:tc>
        <w:tc>
          <w:tcPr>
            <w:tcW w:w="1710"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424.020,00 € </w:t>
            </w:r>
          </w:p>
        </w:tc>
        <w:tc>
          <w:tcPr>
            <w:tcW w:w="1745"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555.980,00 € </w:t>
            </w:r>
          </w:p>
        </w:tc>
        <w:tc>
          <w:tcPr>
            <w:tcW w:w="1754"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555.980,00 € </w:t>
            </w:r>
          </w:p>
        </w:tc>
        <w:tc>
          <w:tcPr>
            <w:tcW w:w="1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100%</w:t>
            </w:r>
          </w:p>
        </w:tc>
      </w:tr>
      <w:tr w:rsidR="00F430E2" w:rsidRPr="00E85451" w:rsidTr="00F430E2">
        <w:trPr>
          <w:trHeight w:val="420"/>
        </w:trPr>
        <w:tc>
          <w:tcPr>
            <w:tcW w:w="2142" w:type="dxa"/>
            <w:vMerge/>
            <w:tcBorders>
              <w:top w:val="nil"/>
              <w:left w:val="single" w:sz="4" w:space="0" w:color="auto"/>
              <w:bottom w:val="single" w:sz="4" w:space="0" w:color="auto"/>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2215" w:type="dxa"/>
            <w:vMerge/>
            <w:tcBorders>
              <w:top w:val="nil"/>
              <w:left w:val="single" w:sz="4" w:space="0" w:color="auto"/>
              <w:bottom w:val="single" w:sz="4" w:space="0" w:color="auto"/>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217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Europska volonterska služba - ciklus treninga - podugovaranje</w:t>
            </w:r>
          </w:p>
        </w:tc>
        <w:tc>
          <w:tcPr>
            <w:tcW w:w="1834"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98.992,00 € </w:t>
            </w:r>
          </w:p>
        </w:tc>
        <w:tc>
          <w:tcPr>
            <w:tcW w:w="1710"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745"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98.992,00 € </w:t>
            </w:r>
          </w:p>
        </w:tc>
        <w:tc>
          <w:tcPr>
            <w:tcW w:w="1754"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48.960,00 € </w:t>
            </w:r>
          </w:p>
        </w:tc>
        <w:tc>
          <w:tcPr>
            <w:tcW w:w="1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49%</w:t>
            </w:r>
          </w:p>
        </w:tc>
      </w:tr>
      <w:tr w:rsidR="00F430E2" w:rsidRPr="00E85451" w:rsidTr="00F430E2">
        <w:trPr>
          <w:trHeight w:val="420"/>
        </w:trPr>
        <w:tc>
          <w:tcPr>
            <w:tcW w:w="2142" w:type="dxa"/>
            <w:vMerge/>
            <w:tcBorders>
              <w:top w:val="nil"/>
              <w:left w:val="single" w:sz="4" w:space="0" w:color="auto"/>
              <w:bottom w:val="single" w:sz="4" w:space="0" w:color="auto"/>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2215" w:type="dxa"/>
            <w:vMerge/>
            <w:tcBorders>
              <w:top w:val="nil"/>
              <w:left w:val="single" w:sz="4" w:space="0" w:color="auto"/>
              <w:bottom w:val="single" w:sz="4" w:space="0" w:color="auto"/>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217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Mobilnost osoba koje rade s mladima</w:t>
            </w:r>
          </w:p>
        </w:tc>
        <w:tc>
          <w:tcPr>
            <w:tcW w:w="1834"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341.646,00 € </w:t>
            </w:r>
          </w:p>
        </w:tc>
        <w:tc>
          <w:tcPr>
            <w:tcW w:w="1710"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184.854,00 € </w:t>
            </w:r>
          </w:p>
        </w:tc>
        <w:tc>
          <w:tcPr>
            <w:tcW w:w="1745"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526.500,00 € </w:t>
            </w:r>
          </w:p>
        </w:tc>
        <w:tc>
          <w:tcPr>
            <w:tcW w:w="1754"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526.500,00 € </w:t>
            </w:r>
          </w:p>
        </w:tc>
        <w:tc>
          <w:tcPr>
            <w:tcW w:w="1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100%</w:t>
            </w:r>
          </w:p>
        </w:tc>
      </w:tr>
      <w:tr w:rsidR="00F430E2" w:rsidRPr="00E85451" w:rsidTr="00F430E2">
        <w:trPr>
          <w:trHeight w:val="210"/>
        </w:trPr>
        <w:tc>
          <w:tcPr>
            <w:tcW w:w="4357" w:type="dxa"/>
            <w:gridSpan w:val="2"/>
            <w:tcBorders>
              <w:top w:val="single" w:sz="4" w:space="0" w:color="auto"/>
              <w:left w:val="single" w:sz="4" w:space="0" w:color="auto"/>
              <w:bottom w:val="single" w:sz="4" w:space="0" w:color="auto"/>
              <w:right w:val="single" w:sz="4" w:space="0" w:color="auto"/>
            </w:tcBorders>
            <w:shd w:val="clear" w:color="FFFFFF" w:fill="4BACC6"/>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Total - KA1 Mladi</w:t>
            </w:r>
          </w:p>
        </w:tc>
        <w:tc>
          <w:tcPr>
            <w:tcW w:w="2179" w:type="dxa"/>
            <w:tcBorders>
              <w:top w:val="nil"/>
              <w:left w:val="nil"/>
              <w:bottom w:val="nil"/>
              <w:right w:val="single" w:sz="4" w:space="0" w:color="auto"/>
            </w:tcBorders>
            <w:shd w:val="clear" w:color="000000" w:fill="4BACC6"/>
            <w:vAlign w:val="center"/>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 </w:t>
            </w:r>
          </w:p>
        </w:tc>
        <w:tc>
          <w:tcPr>
            <w:tcW w:w="1834" w:type="dxa"/>
            <w:tcBorders>
              <w:top w:val="nil"/>
              <w:left w:val="nil"/>
              <w:bottom w:val="nil"/>
              <w:right w:val="single" w:sz="4" w:space="0" w:color="auto"/>
            </w:tcBorders>
            <w:shd w:val="clear" w:color="000000"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2.303.450,00 € </w:t>
            </w:r>
          </w:p>
        </w:tc>
        <w:tc>
          <w:tcPr>
            <w:tcW w:w="1710" w:type="dxa"/>
            <w:tcBorders>
              <w:top w:val="nil"/>
              <w:left w:val="nil"/>
              <w:bottom w:val="nil"/>
              <w:right w:val="single" w:sz="4" w:space="0" w:color="auto"/>
            </w:tcBorders>
            <w:shd w:val="clear" w:color="000000"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745" w:type="dxa"/>
            <w:tcBorders>
              <w:top w:val="nil"/>
              <w:left w:val="nil"/>
              <w:bottom w:val="nil"/>
              <w:right w:val="single" w:sz="4" w:space="0" w:color="auto"/>
            </w:tcBorders>
            <w:shd w:val="clear" w:color="000000"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2.203.448,25 € </w:t>
            </w:r>
          </w:p>
        </w:tc>
        <w:tc>
          <w:tcPr>
            <w:tcW w:w="1754" w:type="dxa"/>
            <w:tcBorders>
              <w:top w:val="nil"/>
              <w:left w:val="nil"/>
              <w:bottom w:val="nil"/>
              <w:right w:val="single" w:sz="4" w:space="0" w:color="auto"/>
            </w:tcBorders>
            <w:shd w:val="clear" w:color="000000" w:fill="4BACC6"/>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2.098.324,00 € </w:t>
            </w:r>
          </w:p>
        </w:tc>
        <w:tc>
          <w:tcPr>
            <w:tcW w:w="1816" w:type="dxa"/>
            <w:tcBorders>
              <w:top w:val="nil"/>
              <w:left w:val="nil"/>
              <w:bottom w:val="single" w:sz="4" w:space="0" w:color="auto"/>
              <w:right w:val="single" w:sz="4" w:space="0" w:color="auto"/>
            </w:tcBorders>
            <w:shd w:val="clear" w:color="000000" w:fill="4BACC6"/>
            <w:noWrap/>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95,2%</w:t>
            </w:r>
          </w:p>
        </w:tc>
      </w:tr>
      <w:tr w:rsidR="00F430E2" w:rsidRPr="00E85451" w:rsidTr="00F430E2">
        <w:trPr>
          <w:trHeight w:val="210"/>
        </w:trPr>
        <w:tc>
          <w:tcPr>
            <w:tcW w:w="4357" w:type="dxa"/>
            <w:gridSpan w:val="2"/>
            <w:tcBorders>
              <w:top w:val="single" w:sz="4" w:space="0" w:color="auto"/>
              <w:left w:val="single" w:sz="4" w:space="0" w:color="auto"/>
              <w:bottom w:val="single" w:sz="4" w:space="0" w:color="auto"/>
              <w:right w:val="single" w:sz="4" w:space="0" w:color="000000"/>
            </w:tcBorders>
            <w:shd w:val="clear" w:color="FFFFFF" w:fill="808080"/>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 xml:space="preserve">Total KA1 </w:t>
            </w:r>
          </w:p>
        </w:tc>
        <w:tc>
          <w:tcPr>
            <w:tcW w:w="2179" w:type="dxa"/>
            <w:tcBorders>
              <w:top w:val="single" w:sz="4" w:space="0" w:color="auto"/>
              <w:left w:val="nil"/>
              <w:bottom w:val="nil"/>
              <w:right w:val="single" w:sz="4" w:space="0" w:color="auto"/>
            </w:tcBorders>
            <w:shd w:val="clear" w:color="000000" w:fill="808080"/>
            <w:vAlign w:val="center"/>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 </w:t>
            </w:r>
          </w:p>
        </w:tc>
        <w:tc>
          <w:tcPr>
            <w:tcW w:w="1834" w:type="dxa"/>
            <w:tcBorders>
              <w:top w:val="single" w:sz="4" w:space="0" w:color="auto"/>
              <w:left w:val="nil"/>
              <w:bottom w:val="single" w:sz="4" w:space="0" w:color="auto"/>
              <w:right w:val="single" w:sz="4" w:space="0" w:color="auto"/>
            </w:tcBorders>
            <w:shd w:val="clear" w:color="000000" w:fill="808080"/>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9.773.896,00 € </w:t>
            </w:r>
          </w:p>
        </w:tc>
        <w:tc>
          <w:tcPr>
            <w:tcW w:w="1710" w:type="dxa"/>
            <w:tcBorders>
              <w:top w:val="single" w:sz="4" w:space="0" w:color="auto"/>
              <w:left w:val="nil"/>
              <w:bottom w:val="single" w:sz="4" w:space="0" w:color="auto"/>
              <w:right w:val="single" w:sz="4" w:space="0" w:color="auto"/>
            </w:tcBorders>
            <w:shd w:val="clear" w:color="000000" w:fill="808080"/>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745" w:type="dxa"/>
            <w:tcBorders>
              <w:top w:val="single" w:sz="4" w:space="0" w:color="auto"/>
              <w:left w:val="nil"/>
              <w:bottom w:val="single" w:sz="4" w:space="0" w:color="auto"/>
              <w:right w:val="single" w:sz="4" w:space="0" w:color="auto"/>
            </w:tcBorders>
            <w:shd w:val="clear" w:color="000000" w:fill="808080"/>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9.797.227,25 € </w:t>
            </w:r>
          </w:p>
        </w:tc>
        <w:tc>
          <w:tcPr>
            <w:tcW w:w="1754" w:type="dxa"/>
            <w:tcBorders>
              <w:top w:val="single" w:sz="4" w:space="0" w:color="auto"/>
              <w:left w:val="nil"/>
              <w:bottom w:val="single" w:sz="4" w:space="0" w:color="auto"/>
              <w:right w:val="nil"/>
            </w:tcBorders>
            <w:shd w:val="clear" w:color="000000" w:fill="808080"/>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9.637.042,00 € </w:t>
            </w:r>
          </w:p>
        </w:tc>
        <w:tc>
          <w:tcPr>
            <w:tcW w:w="1816"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98%</w:t>
            </w:r>
          </w:p>
        </w:tc>
      </w:tr>
      <w:tr w:rsidR="00F430E2" w:rsidRPr="00E85451" w:rsidTr="00F430E2">
        <w:trPr>
          <w:trHeight w:val="420"/>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Opće obrazovanje </w:t>
            </w:r>
          </w:p>
        </w:tc>
        <w:tc>
          <w:tcPr>
            <w:tcW w:w="2215" w:type="dxa"/>
            <w:vMerge w:val="restart"/>
            <w:tcBorders>
              <w:top w:val="nil"/>
              <w:left w:val="single" w:sz="4" w:space="0" w:color="auto"/>
              <w:bottom w:val="single" w:sz="4" w:space="0" w:color="000000"/>
              <w:right w:val="single" w:sz="4" w:space="0" w:color="auto"/>
            </w:tcBorders>
            <w:shd w:val="clear" w:color="auto" w:fill="auto"/>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Strateška partnerstva (KA201)</w:t>
            </w:r>
          </w:p>
        </w:tc>
        <w:tc>
          <w:tcPr>
            <w:tcW w:w="217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Partnerstva koja ne uključuju samo škole </w:t>
            </w:r>
          </w:p>
        </w:tc>
        <w:tc>
          <w:tcPr>
            <w:tcW w:w="1834"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366.767,00 € </w:t>
            </w:r>
          </w:p>
        </w:tc>
        <w:tc>
          <w:tcPr>
            <w:tcW w:w="1710"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79.197,00 € </w:t>
            </w:r>
          </w:p>
        </w:tc>
        <w:tc>
          <w:tcPr>
            <w:tcW w:w="1745"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366.762,00 € </w:t>
            </w:r>
          </w:p>
        </w:tc>
        <w:tc>
          <w:tcPr>
            <w:tcW w:w="1754"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366.762,00 € </w:t>
            </w:r>
          </w:p>
        </w:tc>
        <w:tc>
          <w:tcPr>
            <w:tcW w:w="1816"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100%</w:t>
            </w:r>
          </w:p>
        </w:tc>
      </w:tr>
      <w:tr w:rsidR="00F430E2" w:rsidRPr="00E85451" w:rsidTr="00F430E2">
        <w:trPr>
          <w:trHeight w:val="300"/>
        </w:trPr>
        <w:tc>
          <w:tcPr>
            <w:tcW w:w="2142" w:type="dxa"/>
            <w:vMerge/>
            <w:tcBorders>
              <w:top w:val="nil"/>
              <w:left w:val="single" w:sz="4" w:space="0" w:color="auto"/>
              <w:bottom w:val="single" w:sz="4" w:space="0" w:color="auto"/>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2215" w:type="dxa"/>
            <w:vMerge/>
            <w:tcBorders>
              <w:top w:val="nil"/>
              <w:left w:val="single" w:sz="4" w:space="0" w:color="auto"/>
              <w:bottom w:val="single" w:sz="4" w:space="0" w:color="auto"/>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2179"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Partnerstva između škola </w:t>
            </w:r>
          </w:p>
        </w:tc>
        <w:tc>
          <w:tcPr>
            <w:tcW w:w="1834"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884.284,00 € </w:t>
            </w:r>
          </w:p>
        </w:tc>
        <w:tc>
          <w:tcPr>
            <w:tcW w:w="1710"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745" w:type="dxa"/>
            <w:tcBorders>
              <w:top w:val="nil"/>
              <w:left w:val="nil"/>
              <w:bottom w:val="single" w:sz="4" w:space="0" w:color="auto"/>
              <w:right w:val="single" w:sz="4" w:space="0" w:color="auto"/>
            </w:tcBorders>
            <w:shd w:val="clear" w:color="000000" w:fill="FFFFFF"/>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805.092,00 € </w:t>
            </w:r>
          </w:p>
        </w:tc>
        <w:tc>
          <w:tcPr>
            <w:tcW w:w="1754" w:type="dxa"/>
            <w:tcBorders>
              <w:top w:val="nil"/>
              <w:left w:val="nil"/>
              <w:bottom w:val="single" w:sz="4" w:space="0" w:color="auto"/>
              <w:right w:val="single" w:sz="4" w:space="0" w:color="auto"/>
            </w:tcBorders>
            <w:shd w:val="clear" w:color="000000" w:fill="FFFFFF"/>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805.092,00 € </w:t>
            </w:r>
          </w:p>
        </w:tc>
        <w:tc>
          <w:tcPr>
            <w:tcW w:w="1816" w:type="dxa"/>
            <w:tcBorders>
              <w:top w:val="single" w:sz="4" w:space="0" w:color="auto"/>
              <w:left w:val="nil"/>
              <w:bottom w:val="single" w:sz="4" w:space="0" w:color="auto"/>
              <w:right w:val="single" w:sz="4" w:space="0" w:color="auto"/>
            </w:tcBorders>
            <w:shd w:val="clear" w:color="000000" w:fill="FFFFFF"/>
            <w:noWrap/>
            <w:vAlign w:val="bottom"/>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100%</w:t>
            </w:r>
          </w:p>
        </w:tc>
      </w:tr>
      <w:tr w:rsidR="00F430E2" w:rsidRPr="00E85451" w:rsidTr="00F430E2">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Visoko obrazovanje</w:t>
            </w:r>
          </w:p>
        </w:tc>
        <w:tc>
          <w:tcPr>
            <w:tcW w:w="2215" w:type="dxa"/>
            <w:tcBorders>
              <w:top w:val="single" w:sz="4" w:space="0" w:color="auto"/>
              <w:left w:val="nil"/>
              <w:bottom w:val="single" w:sz="4" w:space="0" w:color="auto"/>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Strateška partnerstva  (KA203)</w:t>
            </w:r>
          </w:p>
        </w:tc>
        <w:tc>
          <w:tcPr>
            <w:tcW w:w="21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834" w:type="dxa"/>
            <w:tcBorders>
              <w:top w:val="single" w:sz="4" w:space="0" w:color="auto"/>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453.676,00 € </w:t>
            </w:r>
          </w:p>
        </w:tc>
        <w:tc>
          <w:tcPr>
            <w:tcW w:w="1710" w:type="dxa"/>
            <w:tcBorders>
              <w:top w:val="single" w:sz="4" w:space="0" w:color="auto"/>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745" w:type="dxa"/>
            <w:tcBorders>
              <w:top w:val="single" w:sz="4" w:space="0" w:color="auto"/>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452.650,00 € </w:t>
            </w:r>
          </w:p>
        </w:tc>
        <w:tc>
          <w:tcPr>
            <w:tcW w:w="1754" w:type="dxa"/>
            <w:tcBorders>
              <w:top w:val="single" w:sz="4" w:space="0" w:color="auto"/>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452.650,00 € </w:t>
            </w:r>
          </w:p>
        </w:tc>
        <w:tc>
          <w:tcPr>
            <w:tcW w:w="1816" w:type="dxa"/>
            <w:tcBorders>
              <w:top w:val="single" w:sz="4" w:space="0" w:color="auto"/>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100%</w:t>
            </w:r>
          </w:p>
        </w:tc>
      </w:tr>
      <w:tr w:rsidR="00F430E2" w:rsidRPr="00E85451" w:rsidTr="00F430E2">
        <w:trPr>
          <w:trHeight w:val="3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Strukovno obrazovanje i osposobljavanje</w:t>
            </w:r>
          </w:p>
        </w:tc>
        <w:tc>
          <w:tcPr>
            <w:tcW w:w="2215" w:type="dxa"/>
            <w:tcBorders>
              <w:top w:val="nil"/>
              <w:left w:val="nil"/>
              <w:bottom w:val="single" w:sz="4" w:space="0" w:color="auto"/>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Strateška partnerstva (KA202)</w:t>
            </w:r>
          </w:p>
        </w:tc>
        <w:tc>
          <w:tcPr>
            <w:tcW w:w="2179" w:type="dxa"/>
            <w:tcBorders>
              <w:top w:val="nil"/>
              <w:left w:val="single" w:sz="4" w:space="0" w:color="auto"/>
              <w:bottom w:val="single" w:sz="4" w:space="0" w:color="auto"/>
              <w:right w:val="single" w:sz="4" w:space="0" w:color="auto"/>
            </w:tcBorders>
            <w:shd w:val="clear" w:color="000000"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834"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772.830,00 € </w:t>
            </w:r>
          </w:p>
        </w:tc>
        <w:tc>
          <w:tcPr>
            <w:tcW w:w="1710" w:type="dxa"/>
            <w:tcBorders>
              <w:top w:val="nil"/>
              <w:left w:val="nil"/>
              <w:bottom w:val="single" w:sz="4" w:space="0" w:color="auto"/>
              <w:right w:val="single" w:sz="4" w:space="0" w:color="auto"/>
            </w:tcBorders>
            <w:shd w:val="clear" w:color="000000" w:fill="FFFFFF"/>
            <w:noWrap/>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43.940,00 € </w:t>
            </w:r>
          </w:p>
        </w:tc>
        <w:tc>
          <w:tcPr>
            <w:tcW w:w="1745"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816.770,00 € </w:t>
            </w:r>
          </w:p>
        </w:tc>
        <w:tc>
          <w:tcPr>
            <w:tcW w:w="1754"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816.770,00 € </w:t>
            </w:r>
          </w:p>
        </w:tc>
        <w:tc>
          <w:tcPr>
            <w:tcW w:w="18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100%</w:t>
            </w:r>
          </w:p>
        </w:tc>
      </w:tr>
      <w:tr w:rsidR="00F430E2" w:rsidRPr="00E85451" w:rsidTr="00F430E2">
        <w:trPr>
          <w:trHeight w:val="3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Obrazovanje </w:t>
            </w:r>
            <w:r w:rsidRPr="00E85451">
              <w:rPr>
                <w:rFonts w:ascii="Arial" w:hAnsi="Arial" w:cs="Arial"/>
                <w:color w:val="auto"/>
                <w:sz w:val="22"/>
                <w:szCs w:val="22"/>
                <w:lang w:val="en-GB" w:eastAsia="en-GB"/>
              </w:rPr>
              <w:lastRenderedPageBreak/>
              <w:t xml:space="preserve">odraslih </w:t>
            </w:r>
          </w:p>
        </w:tc>
        <w:tc>
          <w:tcPr>
            <w:tcW w:w="2215" w:type="dxa"/>
            <w:tcBorders>
              <w:top w:val="nil"/>
              <w:left w:val="nil"/>
              <w:bottom w:val="single" w:sz="4" w:space="0" w:color="auto"/>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lastRenderedPageBreak/>
              <w:t xml:space="preserve">Strateška </w:t>
            </w:r>
            <w:r w:rsidRPr="00E85451">
              <w:rPr>
                <w:rFonts w:ascii="Arial" w:hAnsi="Arial" w:cs="Arial"/>
                <w:color w:val="auto"/>
                <w:sz w:val="22"/>
                <w:szCs w:val="22"/>
                <w:lang w:val="en-GB" w:eastAsia="en-GB"/>
              </w:rPr>
              <w:lastRenderedPageBreak/>
              <w:t>partnerstva (KA204)</w:t>
            </w:r>
          </w:p>
        </w:tc>
        <w:tc>
          <w:tcPr>
            <w:tcW w:w="2179" w:type="dxa"/>
            <w:tcBorders>
              <w:top w:val="nil"/>
              <w:left w:val="single" w:sz="4" w:space="0" w:color="auto"/>
              <w:bottom w:val="single" w:sz="4" w:space="0" w:color="auto"/>
              <w:right w:val="single" w:sz="4" w:space="0" w:color="auto"/>
            </w:tcBorders>
            <w:shd w:val="clear" w:color="000000"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lastRenderedPageBreak/>
              <w:t> </w:t>
            </w:r>
          </w:p>
        </w:tc>
        <w:tc>
          <w:tcPr>
            <w:tcW w:w="1834" w:type="dxa"/>
            <w:tcBorders>
              <w:top w:val="nil"/>
              <w:left w:val="nil"/>
              <w:bottom w:val="single" w:sz="4" w:space="0" w:color="auto"/>
              <w:right w:val="single" w:sz="4" w:space="0" w:color="auto"/>
            </w:tcBorders>
            <w:shd w:val="clear" w:color="000000" w:fill="FFFFFF"/>
            <w:noWrap/>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w:t>
            </w:r>
            <w:r w:rsidRPr="00E85451">
              <w:rPr>
                <w:rFonts w:ascii="Arial" w:hAnsi="Arial" w:cs="Arial"/>
                <w:color w:val="auto"/>
                <w:sz w:val="22"/>
                <w:szCs w:val="22"/>
                <w:lang w:val="en-GB" w:eastAsia="en-GB"/>
              </w:rPr>
              <w:lastRenderedPageBreak/>
              <w:t xml:space="preserve">507.434,00 € </w:t>
            </w:r>
          </w:p>
        </w:tc>
        <w:tc>
          <w:tcPr>
            <w:tcW w:w="1710" w:type="dxa"/>
            <w:tcBorders>
              <w:top w:val="nil"/>
              <w:left w:val="nil"/>
              <w:bottom w:val="single" w:sz="4" w:space="0" w:color="auto"/>
              <w:right w:val="single" w:sz="4" w:space="0" w:color="auto"/>
            </w:tcBorders>
            <w:shd w:val="clear" w:color="000000" w:fill="FFFFFF"/>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lastRenderedPageBreak/>
              <w:t xml:space="preserve">-                 </w:t>
            </w:r>
            <w:r w:rsidRPr="00E85451">
              <w:rPr>
                <w:rFonts w:ascii="Arial" w:hAnsi="Arial" w:cs="Arial"/>
                <w:color w:val="auto"/>
                <w:sz w:val="22"/>
                <w:szCs w:val="22"/>
                <w:lang w:val="en-GB" w:eastAsia="en-GB"/>
              </w:rPr>
              <w:lastRenderedPageBreak/>
              <w:t xml:space="preserve">87.050,00 € </w:t>
            </w:r>
          </w:p>
        </w:tc>
        <w:tc>
          <w:tcPr>
            <w:tcW w:w="1745" w:type="dxa"/>
            <w:tcBorders>
              <w:top w:val="nil"/>
              <w:left w:val="nil"/>
              <w:bottom w:val="single" w:sz="4" w:space="0" w:color="auto"/>
              <w:right w:val="single" w:sz="4" w:space="0" w:color="auto"/>
            </w:tcBorders>
            <w:shd w:val="clear" w:color="000000" w:fill="FFFFFF"/>
            <w:noWrap/>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lastRenderedPageBreak/>
              <w:t xml:space="preserve">         </w:t>
            </w:r>
            <w:r w:rsidRPr="00E85451">
              <w:rPr>
                <w:rFonts w:ascii="Arial" w:hAnsi="Arial" w:cs="Arial"/>
                <w:color w:val="auto"/>
                <w:sz w:val="22"/>
                <w:szCs w:val="22"/>
                <w:lang w:val="en-GB" w:eastAsia="en-GB"/>
              </w:rPr>
              <w:lastRenderedPageBreak/>
              <w:t xml:space="preserve">420.384,00 € </w:t>
            </w:r>
          </w:p>
        </w:tc>
        <w:tc>
          <w:tcPr>
            <w:tcW w:w="1754" w:type="dxa"/>
            <w:tcBorders>
              <w:top w:val="nil"/>
              <w:left w:val="nil"/>
              <w:bottom w:val="single" w:sz="4" w:space="0" w:color="auto"/>
              <w:right w:val="single" w:sz="4" w:space="0" w:color="auto"/>
            </w:tcBorders>
            <w:shd w:val="clear" w:color="000000" w:fill="FFFFFF"/>
            <w:noWrap/>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lastRenderedPageBreak/>
              <w:t xml:space="preserve">          </w:t>
            </w:r>
            <w:r w:rsidRPr="00E85451">
              <w:rPr>
                <w:rFonts w:ascii="Arial" w:hAnsi="Arial" w:cs="Arial"/>
                <w:color w:val="auto"/>
                <w:sz w:val="22"/>
                <w:szCs w:val="22"/>
                <w:lang w:val="en-GB" w:eastAsia="en-GB"/>
              </w:rPr>
              <w:lastRenderedPageBreak/>
              <w:t xml:space="preserve">420.384,00 € </w:t>
            </w:r>
          </w:p>
        </w:tc>
        <w:tc>
          <w:tcPr>
            <w:tcW w:w="1816" w:type="dxa"/>
            <w:tcBorders>
              <w:top w:val="nil"/>
              <w:left w:val="nil"/>
              <w:bottom w:val="nil"/>
              <w:right w:val="single" w:sz="4" w:space="0" w:color="auto"/>
            </w:tcBorders>
            <w:shd w:val="clear" w:color="000000" w:fill="FFFFFF"/>
            <w:noWrap/>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lastRenderedPageBreak/>
              <w:t>100%</w:t>
            </w:r>
          </w:p>
        </w:tc>
      </w:tr>
      <w:tr w:rsidR="00F430E2" w:rsidRPr="00E85451" w:rsidTr="00F430E2">
        <w:trPr>
          <w:trHeight w:val="30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lastRenderedPageBreak/>
              <w:t xml:space="preserve">Mladi </w:t>
            </w:r>
          </w:p>
        </w:tc>
        <w:tc>
          <w:tcPr>
            <w:tcW w:w="2215" w:type="dxa"/>
            <w:tcBorders>
              <w:top w:val="nil"/>
              <w:left w:val="nil"/>
              <w:bottom w:val="single" w:sz="4" w:space="0" w:color="auto"/>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Strateška partnerstva (KA205)</w:t>
            </w:r>
          </w:p>
        </w:tc>
        <w:tc>
          <w:tcPr>
            <w:tcW w:w="2179" w:type="dxa"/>
            <w:tcBorders>
              <w:top w:val="nil"/>
              <w:left w:val="single" w:sz="4" w:space="0" w:color="auto"/>
              <w:bottom w:val="single" w:sz="4" w:space="0" w:color="auto"/>
              <w:right w:val="single" w:sz="4" w:space="0" w:color="auto"/>
            </w:tcBorders>
            <w:shd w:val="clear" w:color="000000"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834" w:type="dxa"/>
            <w:tcBorders>
              <w:top w:val="nil"/>
              <w:left w:val="nil"/>
              <w:bottom w:val="single" w:sz="4" w:space="0" w:color="auto"/>
              <w:right w:val="single" w:sz="4" w:space="0" w:color="auto"/>
            </w:tcBorders>
            <w:shd w:val="clear" w:color="000000"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456.530,00 € </w:t>
            </w:r>
          </w:p>
        </w:tc>
        <w:tc>
          <w:tcPr>
            <w:tcW w:w="1710" w:type="dxa"/>
            <w:tcBorders>
              <w:top w:val="nil"/>
              <w:left w:val="nil"/>
              <w:bottom w:val="single" w:sz="4" w:space="0" w:color="auto"/>
              <w:right w:val="single" w:sz="4" w:space="0" w:color="auto"/>
            </w:tcBorders>
            <w:shd w:val="clear" w:color="000000"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94.312,75 € </w:t>
            </w:r>
          </w:p>
        </w:tc>
        <w:tc>
          <w:tcPr>
            <w:tcW w:w="1745" w:type="dxa"/>
            <w:tcBorders>
              <w:top w:val="nil"/>
              <w:left w:val="nil"/>
              <w:bottom w:val="single" w:sz="4" w:space="0" w:color="auto"/>
              <w:right w:val="single" w:sz="4" w:space="0" w:color="auto"/>
            </w:tcBorders>
            <w:shd w:val="clear" w:color="000000"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550.842,75 € </w:t>
            </w:r>
          </w:p>
        </w:tc>
        <w:tc>
          <w:tcPr>
            <w:tcW w:w="1754" w:type="dxa"/>
            <w:tcBorders>
              <w:top w:val="nil"/>
              <w:left w:val="nil"/>
              <w:bottom w:val="single" w:sz="4" w:space="0" w:color="auto"/>
              <w:right w:val="single" w:sz="4" w:space="0" w:color="auto"/>
            </w:tcBorders>
            <w:shd w:val="clear" w:color="FFFFFF"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503.794,50 € </w:t>
            </w:r>
          </w:p>
        </w:tc>
        <w:tc>
          <w:tcPr>
            <w:tcW w:w="1816" w:type="dxa"/>
            <w:tcBorders>
              <w:top w:val="single" w:sz="4" w:space="0" w:color="auto"/>
              <w:left w:val="nil"/>
              <w:bottom w:val="nil"/>
              <w:right w:val="single" w:sz="4" w:space="0" w:color="auto"/>
            </w:tcBorders>
            <w:shd w:val="clear" w:color="000000" w:fill="FFFFFF"/>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80%</w:t>
            </w:r>
          </w:p>
        </w:tc>
      </w:tr>
      <w:tr w:rsidR="00F430E2" w:rsidRPr="00E85451" w:rsidTr="00F430E2">
        <w:trPr>
          <w:trHeight w:val="210"/>
        </w:trPr>
        <w:tc>
          <w:tcPr>
            <w:tcW w:w="4357" w:type="dxa"/>
            <w:gridSpan w:val="2"/>
            <w:tcBorders>
              <w:top w:val="single" w:sz="4" w:space="0" w:color="auto"/>
              <w:left w:val="single" w:sz="4" w:space="0" w:color="auto"/>
              <w:bottom w:val="single" w:sz="4" w:space="0" w:color="auto"/>
              <w:right w:val="single" w:sz="4" w:space="0" w:color="000000"/>
            </w:tcBorders>
            <w:shd w:val="clear" w:color="FFFFFF" w:fill="808080"/>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 xml:space="preserve">Total - KA2 </w:t>
            </w:r>
          </w:p>
        </w:tc>
        <w:tc>
          <w:tcPr>
            <w:tcW w:w="2179" w:type="dxa"/>
            <w:tcBorders>
              <w:top w:val="single" w:sz="4" w:space="0" w:color="auto"/>
              <w:left w:val="nil"/>
              <w:bottom w:val="single" w:sz="8" w:space="0" w:color="000000"/>
              <w:right w:val="single" w:sz="4" w:space="0" w:color="auto"/>
            </w:tcBorders>
            <w:shd w:val="clear" w:color="000000" w:fill="808080"/>
            <w:vAlign w:val="center"/>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 </w:t>
            </w:r>
          </w:p>
        </w:tc>
        <w:tc>
          <w:tcPr>
            <w:tcW w:w="1834" w:type="dxa"/>
            <w:tcBorders>
              <w:top w:val="single" w:sz="4" w:space="0" w:color="auto"/>
              <w:left w:val="single" w:sz="4" w:space="0" w:color="auto"/>
              <w:bottom w:val="single" w:sz="8" w:space="0" w:color="000000"/>
              <w:right w:val="single" w:sz="4" w:space="0" w:color="auto"/>
            </w:tcBorders>
            <w:shd w:val="clear" w:color="000000" w:fill="808080"/>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3.441.521,00 € </w:t>
            </w:r>
          </w:p>
        </w:tc>
        <w:tc>
          <w:tcPr>
            <w:tcW w:w="1710" w:type="dxa"/>
            <w:tcBorders>
              <w:top w:val="single" w:sz="4" w:space="0" w:color="auto"/>
              <w:left w:val="single" w:sz="4" w:space="0" w:color="auto"/>
              <w:bottom w:val="single" w:sz="8" w:space="0" w:color="000000"/>
              <w:right w:val="single" w:sz="4" w:space="0" w:color="auto"/>
            </w:tcBorders>
            <w:shd w:val="clear" w:color="000000" w:fill="808080"/>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745" w:type="dxa"/>
            <w:tcBorders>
              <w:top w:val="single" w:sz="4" w:space="0" w:color="auto"/>
              <w:left w:val="single" w:sz="4" w:space="0" w:color="auto"/>
              <w:bottom w:val="single" w:sz="8" w:space="0" w:color="000000"/>
              <w:right w:val="single" w:sz="4" w:space="0" w:color="auto"/>
            </w:tcBorders>
            <w:shd w:val="clear" w:color="000000" w:fill="808080"/>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3.412.500,75 € </w:t>
            </w:r>
          </w:p>
        </w:tc>
        <w:tc>
          <w:tcPr>
            <w:tcW w:w="1754" w:type="dxa"/>
            <w:tcBorders>
              <w:top w:val="single" w:sz="4" w:space="0" w:color="auto"/>
              <w:left w:val="single" w:sz="4" w:space="0" w:color="auto"/>
              <w:bottom w:val="single" w:sz="8" w:space="0" w:color="000000"/>
              <w:right w:val="nil"/>
            </w:tcBorders>
            <w:shd w:val="clear" w:color="000000" w:fill="808080"/>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3.365.452,50 € </w:t>
            </w:r>
          </w:p>
        </w:tc>
        <w:tc>
          <w:tcPr>
            <w:tcW w:w="1816" w:type="dxa"/>
            <w:tcBorders>
              <w:top w:val="single" w:sz="4" w:space="0" w:color="auto"/>
              <w:left w:val="single" w:sz="4" w:space="0" w:color="auto"/>
              <w:bottom w:val="single" w:sz="8" w:space="0" w:color="000000"/>
              <w:right w:val="single" w:sz="4" w:space="0" w:color="auto"/>
            </w:tcBorders>
            <w:shd w:val="clear" w:color="000000" w:fill="808080"/>
            <w:noWrap/>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98,6%</w:t>
            </w:r>
          </w:p>
        </w:tc>
      </w:tr>
      <w:tr w:rsidR="00F430E2" w:rsidRPr="00E85451" w:rsidTr="00F430E2">
        <w:trPr>
          <w:trHeight w:val="660"/>
        </w:trPr>
        <w:tc>
          <w:tcPr>
            <w:tcW w:w="2142" w:type="dxa"/>
            <w:tcBorders>
              <w:top w:val="nil"/>
              <w:left w:val="single" w:sz="4" w:space="0" w:color="auto"/>
              <w:bottom w:val="single" w:sz="4" w:space="0" w:color="auto"/>
              <w:right w:val="single" w:sz="4" w:space="0" w:color="auto"/>
            </w:tcBorders>
            <w:shd w:val="clear" w:color="auto" w:fill="auto"/>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Mladi </w:t>
            </w:r>
          </w:p>
        </w:tc>
        <w:tc>
          <w:tcPr>
            <w:tcW w:w="2215" w:type="dxa"/>
            <w:tcBorders>
              <w:top w:val="nil"/>
              <w:left w:val="nil"/>
              <w:bottom w:val="single" w:sz="4" w:space="0" w:color="auto"/>
              <w:right w:val="single" w:sz="4" w:space="0" w:color="auto"/>
            </w:tcBorders>
            <w:shd w:val="clear" w:color="auto" w:fill="auto"/>
            <w:vAlign w:val="bottom"/>
            <w:hideMark/>
          </w:tcPr>
          <w:p w:rsidR="00F430E2" w:rsidRPr="00E85451" w:rsidRDefault="00F430E2" w:rsidP="00F430E2">
            <w:pPr>
              <w:widowControl/>
              <w:rPr>
                <w:rFonts w:ascii="Arial" w:hAnsi="Arial" w:cs="Arial"/>
                <w:color w:val="auto"/>
                <w:sz w:val="22"/>
                <w:szCs w:val="22"/>
                <w:lang w:val="de-CH" w:eastAsia="en-GB"/>
              </w:rPr>
            </w:pPr>
            <w:r w:rsidRPr="00E85451">
              <w:rPr>
                <w:rFonts w:ascii="Arial" w:hAnsi="Arial" w:cs="Arial"/>
                <w:color w:val="auto"/>
                <w:sz w:val="22"/>
                <w:szCs w:val="22"/>
                <w:lang w:val="de-CH" w:eastAsia="en-GB"/>
              </w:rPr>
              <w:t>Ključna aktivnost 3 - Potpora reformi politika</w:t>
            </w:r>
          </w:p>
        </w:tc>
        <w:tc>
          <w:tcPr>
            <w:tcW w:w="2179" w:type="dxa"/>
            <w:tcBorders>
              <w:top w:val="single" w:sz="4" w:space="0" w:color="auto"/>
              <w:left w:val="nil"/>
              <w:bottom w:val="single" w:sz="4" w:space="0" w:color="auto"/>
              <w:right w:val="single" w:sz="4" w:space="0" w:color="auto"/>
            </w:tcBorders>
            <w:shd w:val="clear" w:color="auto" w:fill="auto"/>
            <w:vAlign w:val="bottom"/>
            <w:hideMark/>
          </w:tcPr>
          <w:p w:rsidR="00F430E2" w:rsidRPr="00E85451" w:rsidRDefault="00F430E2" w:rsidP="00F430E2">
            <w:pPr>
              <w:widowControl/>
              <w:rPr>
                <w:rFonts w:ascii="Arial" w:hAnsi="Arial" w:cs="Arial"/>
                <w:color w:val="auto"/>
                <w:sz w:val="22"/>
                <w:szCs w:val="22"/>
                <w:lang w:val="de-CH" w:eastAsia="en-GB"/>
              </w:rPr>
            </w:pPr>
            <w:r w:rsidRPr="00E85451">
              <w:rPr>
                <w:rFonts w:ascii="Arial" w:hAnsi="Arial" w:cs="Arial"/>
                <w:color w:val="auto"/>
                <w:sz w:val="22"/>
                <w:szCs w:val="22"/>
                <w:lang w:val="de-CH" w:eastAsia="en-GB"/>
              </w:rPr>
              <w:t xml:space="preserve">Strukturirani dijalog: Sastanci mladih i donositelja odluka u području mladih                          </w:t>
            </w:r>
          </w:p>
        </w:tc>
        <w:tc>
          <w:tcPr>
            <w:tcW w:w="1834" w:type="dxa"/>
            <w:tcBorders>
              <w:top w:val="single" w:sz="4" w:space="0" w:color="auto"/>
              <w:left w:val="nil"/>
              <w:bottom w:val="single" w:sz="4" w:space="0" w:color="auto"/>
              <w:right w:val="single" w:sz="4" w:space="0" w:color="auto"/>
            </w:tcBorders>
            <w:shd w:val="clear" w:color="000000"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de-CH" w:eastAsia="en-GB"/>
              </w:rPr>
              <w:t xml:space="preserve">         </w:t>
            </w:r>
            <w:r w:rsidRPr="00E85451">
              <w:rPr>
                <w:rFonts w:ascii="Arial" w:hAnsi="Arial" w:cs="Arial"/>
                <w:color w:val="auto"/>
                <w:sz w:val="22"/>
                <w:szCs w:val="22"/>
                <w:lang w:val="en-GB" w:eastAsia="en-GB"/>
              </w:rPr>
              <w:t xml:space="preserve">103.481,00 € </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5.689,00 € </w:t>
            </w:r>
          </w:p>
        </w:tc>
        <w:tc>
          <w:tcPr>
            <w:tcW w:w="1745" w:type="dxa"/>
            <w:tcBorders>
              <w:top w:val="single" w:sz="4" w:space="0" w:color="auto"/>
              <w:left w:val="nil"/>
              <w:bottom w:val="single" w:sz="4" w:space="0" w:color="auto"/>
              <w:right w:val="single" w:sz="4" w:space="0" w:color="auto"/>
            </w:tcBorders>
            <w:shd w:val="clear" w:color="000000"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109.170,00 € </w:t>
            </w:r>
          </w:p>
        </w:tc>
        <w:tc>
          <w:tcPr>
            <w:tcW w:w="1754" w:type="dxa"/>
            <w:tcBorders>
              <w:top w:val="single" w:sz="4" w:space="0" w:color="auto"/>
              <w:left w:val="nil"/>
              <w:bottom w:val="single" w:sz="4" w:space="0" w:color="auto"/>
              <w:right w:val="single" w:sz="4" w:space="0" w:color="auto"/>
            </w:tcBorders>
            <w:shd w:val="clear" w:color="000000"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108.170,00 € </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r>
      <w:tr w:rsidR="00F430E2" w:rsidRPr="00E85451" w:rsidTr="00F430E2">
        <w:trPr>
          <w:trHeight w:val="225"/>
        </w:trPr>
        <w:tc>
          <w:tcPr>
            <w:tcW w:w="4357" w:type="dxa"/>
            <w:gridSpan w:val="2"/>
            <w:tcBorders>
              <w:top w:val="single" w:sz="4" w:space="0" w:color="auto"/>
              <w:left w:val="single" w:sz="4" w:space="0" w:color="auto"/>
              <w:bottom w:val="nil"/>
              <w:right w:val="single" w:sz="4" w:space="0" w:color="auto"/>
            </w:tcBorders>
            <w:shd w:val="clear" w:color="FFFFFF" w:fill="808080"/>
            <w:vAlign w:val="center"/>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Total - KA3</w:t>
            </w:r>
          </w:p>
        </w:tc>
        <w:tc>
          <w:tcPr>
            <w:tcW w:w="2179" w:type="dxa"/>
            <w:tcBorders>
              <w:top w:val="nil"/>
              <w:left w:val="nil"/>
              <w:bottom w:val="nil"/>
              <w:right w:val="single" w:sz="4" w:space="0" w:color="auto"/>
            </w:tcBorders>
            <w:shd w:val="clear" w:color="000000" w:fill="808080"/>
            <w:noWrap/>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834" w:type="dxa"/>
            <w:tcBorders>
              <w:top w:val="nil"/>
              <w:left w:val="nil"/>
              <w:bottom w:val="nil"/>
              <w:right w:val="single" w:sz="4" w:space="0" w:color="auto"/>
            </w:tcBorders>
            <w:shd w:val="clear" w:color="000000" w:fill="808080"/>
            <w:noWrap/>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103.481,00 € </w:t>
            </w:r>
          </w:p>
        </w:tc>
        <w:tc>
          <w:tcPr>
            <w:tcW w:w="1710" w:type="dxa"/>
            <w:tcBorders>
              <w:top w:val="nil"/>
              <w:left w:val="nil"/>
              <w:bottom w:val="nil"/>
              <w:right w:val="single" w:sz="4" w:space="0" w:color="auto"/>
            </w:tcBorders>
            <w:shd w:val="clear" w:color="000000" w:fill="808080"/>
            <w:noWrap/>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745" w:type="dxa"/>
            <w:tcBorders>
              <w:top w:val="nil"/>
              <w:left w:val="nil"/>
              <w:bottom w:val="single" w:sz="8" w:space="0" w:color="000000"/>
              <w:right w:val="single" w:sz="4" w:space="0" w:color="auto"/>
            </w:tcBorders>
            <w:shd w:val="clear" w:color="000000" w:fill="808080"/>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109.170,00 € </w:t>
            </w:r>
          </w:p>
        </w:tc>
        <w:tc>
          <w:tcPr>
            <w:tcW w:w="1754" w:type="dxa"/>
            <w:tcBorders>
              <w:top w:val="nil"/>
              <w:left w:val="nil"/>
              <w:bottom w:val="single" w:sz="8" w:space="0" w:color="000000"/>
              <w:right w:val="single" w:sz="4" w:space="0" w:color="auto"/>
            </w:tcBorders>
            <w:shd w:val="clear" w:color="000000" w:fill="808080"/>
            <w:noWrap/>
            <w:vAlign w:val="center"/>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108.170,00 € </w:t>
            </w:r>
          </w:p>
        </w:tc>
        <w:tc>
          <w:tcPr>
            <w:tcW w:w="1816" w:type="dxa"/>
            <w:tcBorders>
              <w:top w:val="nil"/>
              <w:left w:val="nil"/>
              <w:bottom w:val="single" w:sz="8" w:space="0" w:color="000000"/>
              <w:right w:val="single" w:sz="4" w:space="0" w:color="auto"/>
            </w:tcBorders>
            <w:shd w:val="clear" w:color="000000" w:fill="808080"/>
            <w:noWrap/>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99%</w:t>
            </w:r>
          </w:p>
        </w:tc>
      </w:tr>
      <w:tr w:rsidR="00F430E2" w:rsidRPr="00E85451" w:rsidTr="00F430E2">
        <w:trPr>
          <w:trHeight w:val="315"/>
        </w:trPr>
        <w:tc>
          <w:tcPr>
            <w:tcW w:w="4357" w:type="dxa"/>
            <w:gridSpan w:val="2"/>
            <w:tcBorders>
              <w:top w:val="nil"/>
              <w:left w:val="single" w:sz="8" w:space="0" w:color="auto"/>
              <w:bottom w:val="single" w:sz="8" w:space="0" w:color="auto"/>
              <w:right w:val="nil"/>
            </w:tcBorders>
            <w:shd w:val="clear" w:color="000000" w:fill="000000"/>
            <w:vAlign w:val="center"/>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Total (KA1+KA2+KA3)</w:t>
            </w:r>
          </w:p>
        </w:tc>
        <w:tc>
          <w:tcPr>
            <w:tcW w:w="2179" w:type="dxa"/>
            <w:tcBorders>
              <w:top w:val="nil"/>
              <w:left w:val="single" w:sz="4" w:space="0" w:color="auto"/>
              <w:bottom w:val="single" w:sz="8" w:space="0" w:color="auto"/>
              <w:right w:val="single" w:sz="4" w:space="0" w:color="auto"/>
            </w:tcBorders>
            <w:shd w:val="clear" w:color="000000" w:fill="000000"/>
            <w:noWrap/>
            <w:vAlign w:val="center"/>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834" w:type="dxa"/>
            <w:tcBorders>
              <w:top w:val="nil"/>
              <w:left w:val="single" w:sz="4" w:space="0" w:color="auto"/>
              <w:bottom w:val="single" w:sz="8" w:space="0" w:color="auto"/>
              <w:right w:val="single" w:sz="4" w:space="0" w:color="auto"/>
            </w:tcBorders>
            <w:shd w:val="clear" w:color="000000" w:fill="000000"/>
            <w:noWrap/>
            <w:vAlign w:val="center"/>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13.318.898,00 € </w:t>
            </w:r>
          </w:p>
        </w:tc>
        <w:tc>
          <w:tcPr>
            <w:tcW w:w="1710" w:type="dxa"/>
            <w:tcBorders>
              <w:top w:val="nil"/>
              <w:left w:val="single" w:sz="4" w:space="0" w:color="auto"/>
              <w:bottom w:val="single" w:sz="8" w:space="0" w:color="auto"/>
              <w:right w:val="single" w:sz="4" w:space="0" w:color="auto"/>
            </w:tcBorders>
            <w:shd w:val="clear" w:color="000000" w:fill="000000"/>
            <w:noWrap/>
            <w:vAlign w:val="center"/>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1745" w:type="dxa"/>
            <w:tcBorders>
              <w:top w:val="nil"/>
              <w:left w:val="single" w:sz="4" w:space="0" w:color="auto"/>
              <w:bottom w:val="single" w:sz="8" w:space="0" w:color="auto"/>
              <w:right w:val="single" w:sz="4" w:space="0" w:color="auto"/>
            </w:tcBorders>
            <w:shd w:val="clear" w:color="000000" w:fill="000000"/>
            <w:noWrap/>
            <w:vAlign w:val="center"/>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13.318.898,00 € </w:t>
            </w:r>
          </w:p>
        </w:tc>
        <w:tc>
          <w:tcPr>
            <w:tcW w:w="1754" w:type="dxa"/>
            <w:tcBorders>
              <w:top w:val="nil"/>
              <w:left w:val="single" w:sz="4" w:space="0" w:color="auto"/>
              <w:bottom w:val="single" w:sz="8" w:space="0" w:color="auto"/>
              <w:right w:val="single" w:sz="4" w:space="0" w:color="auto"/>
            </w:tcBorders>
            <w:shd w:val="clear" w:color="000000" w:fill="000000"/>
            <w:noWrap/>
            <w:vAlign w:val="center"/>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13.110.664,50 € </w:t>
            </w:r>
          </w:p>
        </w:tc>
        <w:tc>
          <w:tcPr>
            <w:tcW w:w="1816" w:type="dxa"/>
            <w:tcBorders>
              <w:top w:val="nil"/>
              <w:left w:val="single" w:sz="4" w:space="0" w:color="auto"/>
              <w:bottom w:val="single" w:sz="8" w:space="0" w:color="auto"/>
              <w:right w:val="single" w:sz="8" w:space="0" w:color="auto"/>
            </w:tcBorders>
            <w:shd w:val="clear" w:color="000000" w:fill="000000"/>
            <w:noWrap/>
            <w:vAlign w:val="center"/>
            <w:hideMark/>
          </w:tcPr>
          <w:p w:rsidR="00F430E2" w:rsidRPr="00E85451" w:rsidRDefault="00F430E2" w:rsidP="00F430E2">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98%</w:t>
            </w:r>
          </w:p>
        </w:tc>
      </w:tr>
      <w:tr w:rsidR="00F430E2" w:rsidRPr="00E85451" w:rsidTr="00F430E2">
        <w:trPr>
          <w:trHeight w:val="300"/>
        </w:trPr>
        <w:tc>
          <w:tcPr>
            <w:tcW w:w="2142" w:type="dxa"/>
            <w:tcBorders>
              <w:top w:val="nil"/>
              <w:left w:val="nil"/>
              <w:bottom w:val="nil"/>
              <w:right w:val="nil"/>
            </w:tcBorders>
            <w:shd w:val="clear" w:color="auto" w:fill="auto"/>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Datum: ožujak, 2015.</w:t>
            </w:r>
          </w:p>
        </w:tc>
        <w:tc>
          <w:tcPr>
            <w:tcW w:w="2215" w:type="dxa"/>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2179" w:type="dxa"/>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1834" w:type="dxa"/>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1710" w:type="dxa"/>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1745" w:type="dxa"/>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1754" w:type="dxa"/>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1816" w:type="dxa"/>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bl>
    <w:p w:rsidR="00F430E2" w:rsidRPr="00E85451" w:rsidRDefault="00F430E2" w:rsidP="00F430E2">
      <w:pPr>
        <w:rPr>
          <w:rFonts w:ascii="Arial" w:hAnsi="Arial" w:cs="Arial"/>
          <w:color w:val="auto"/>
          <w:sz w:val="22"/>
          <w:szCs w:val="22"/>
        </w:rPr>
        <w:sectPr w:rsidR="00F430E2" w:rsidRPr="00E85451" w:rsidSect="00127A98">
          <w:pgSz w:w="16840" w:h="11900" w:orient="landscape"/>
          <w:pgMar w:top="1270" w:right="1440" w:bottom="1712" w:left="1440" w:header="426" w:footer="377" w:gutter="0"/>
          <w:cols w:space="720"/>
          <w:docGrid w:linePitch="326"/>
        </w:sectPr>
      </w:pPr>
    </w:p>
    <w:p w:rsidR="00F430E2" w:rsidRPr="00E85451" w:rsidRDefault="00F430E2" w:rsidP="00F430E2">
      <w:pPr>
        <w:rPr>
          <w:rFonts w:ascii="Arial" w:hAnsi="Arial" w:cs="Arial"/>
          <w:color w:val="auto"/>
          <w:sz w:val="22"/>
          <w:szCs w:val="22"/>
        </w:rPr>
      </w:pPr>
    </w:p>
    <w:tbl>
      <w:tblPr>
        <w:tblW w:w="4953" w:type="pct"/>
        <w:tblLayout w:type="fixed"/>
        <w:tblLook w:val="04A0" w:firstRow="1" w:lastRow="0" w:firstColumn="1" w:lastColumn="0" w:noHBand="0" w:noVBand="1"/>
      </w:tblPr>
      <w:tblGrid>
        <w:gridCol w:w="3866"/>
        <w:gridCol w:w="1227"/>
        <w:gridCol w:w="1446"/>
        <w:gridCol w:w="435"/>
        <w:gridCol w:w="764"/>
        <w:gridCol w:w="761"/>
        <w:gridCol w:w="907"/>
        <w:gridCol w:w="483"/>
        <w:gridCol w:w="871"/>
        <w:gridCol w:w="404"/>
        <w:gridCol w:w="2407"/>
        <w:gridCol w:w="236"/>
        <w:gridCol w:w="236"/>
      </w:tblGrid>
      <w:tr w:rsidR="00F430E2" w:rsidRPr="00E85451" w:rsidTr="00F430E2">
        <w:trPr>
          <w:trHeight w:val="245"/>
        </w:trPr>
        <w:tc>
          <w:tcPr>
            <w:tcW w:w="1376"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437"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670" w:type="pct"/>
            <w:gridSpan w:val="2"/>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272"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271"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323"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172"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310"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1001" w:type="pct"/>
            <w:gridSpan w:val="2"/>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245"/>
        </w:trPr>
        <w:tc>
          <w:tcPr>
            <w:tcW w:w="3521" w:type="pct"/>
            <w:gridSpan w:val="8"/>
            <w:vMerge w:val="restart"/>
            <w:tcBorders>
              <w:top w:val="nil"/>
              <w:left w:val="nil"/>
              <w:bottom w:val="nil"/>
              <w:right w:val="nil"/>
            </w:tcBorders>
            <w:shd w:val="clear" w:color="auto" w:fill="auto"/>
            <w:noWrap/>
            <w:vAlign w:val="center"/>
            <w:hideMark/>
          </w:tcPr>
          <w:p w:rsidR="00F430E2" w:rsidRPr="00E85451" w:rsidRDefault="00F430E2" w:rsidP="00F430E2">
            <w:pPr>
              <w:widowControl/>
              <w:jc w:val="center"/>
              <w:rPr>
                <w:rFonts w:ascii="Arial" w:hAnsi="Arial" w:cs="Arial"/>
                <w:b/>
                <w:bCs/>
                <w:color w:val="auto"/>
                <w:sz w:val="22"/>
                <w:szCs w:val="22"/>
                <w:lang w:eastAsia="en-GB"/>
              </w:rPr>
            </w:pPr>
            <w:r w:rsidRPr="00E85451">
              <w:rPr>
                <w:rFonts w:ascii="Arial" w:hAnsi="Arial" w:cs="Arial"/>
                <w:b/>
                <w:bCs/>
                <w:color w:val="auto"/>
                <w:sz w:val="22"/>
                <w:szCs w:val="22"/>
                <w:lang w:eastAsia="en-GB"/>
              </w:rPr>
              <w:t>ERASMUS + - ZAPRIMLJENE PRIJAVE I UGOVORENI PROJEKTI U OKVIRU NATJEČAJA 2014.</w:t>
            </w:r>
          </w:p>
        </w:tc>
        <w:tc>
          <w:tcPr>
            <w:tcW w:w="310"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c>
          <w:tcPr>
            <w:tcW w:w="1001" w:type="pct"/>
            <w:gridSpan w:val="2"/>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r>
      <w:tr w:rsidR="00F430E2" w:rsidRPr="00E85451" w:rsidTr="00F430E2">
        <w:trPr>
          <w:trHeight w:val="245"/>
        </w:trPr>
        <w:tc>
          <w:tcPr>
            <w:tcW w:w="3521" w:type="pct"/>
            <w:gridSpan w:val="8"/>
            <w:vMerge/>
            <w:tcBorders>
              <w:top w:val="nil"/>
              <w:left w:val="nil"/>
              <w:bottom w:val="nil"/>
              <w:right w:val="nil"/>
            </w:tcBorders>
            <w:vAlign w:val="center"/>
            <w:hideMark/>
          </w:tcPr>
          <w:p w:rsidR="00F430E2" w:rsidRPr="00E85451" w:rsidRDefault="00F430E2" w:rsidP="00F430E2">
            <w:pPr>
              <w:widowControl/>
              <w:rPr>
                <w:rFonts w:ascii="Arial" w:hAnsi="Arial" w:cs="Arial"/>
                <w:b/>
                <w:bCs/>
                <w:color w:val="auto"/>
                <w:sz w:val="22"/>
                <w:szCs w:val="22"/>
                <w:lang w:eastAsia="en-GB"/>
              </w:rPr>
            </w:pPr>
          </w:p>
        </w:tc>
        <w:tc>
          <w:tcPr>
            <w:tcW w:w="310"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c>
          <w:tcPr>
            <w:tcW w:w="1001" w:type="pct"/>
            <w:gridSpan w:val="2"/>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r>
      <w:tr w:rsidR="00F430E2" w:rsidRPr="00E85451" w:rsidTr="00F430E2">
        <w:trPr>
          <w:trHeight w:val="368"/>
        </w:trPr>
        <w:tc>
          <w:tcPr>
            <w:tcW w:w="1376" w:type="pct"/>
            <w:tcBorders>
              <w:top w:val="single" w:sz="4" w:space="0" w:color="auto"/>
              <w:left w:val="single" w:sz="4" w:space="0" w:color="auto"/>
              <w:bottom w:val="single" w:sz="4" w:space="0" w:color="auto"/>
              <w:right w:val="single" w:sz="4" w:space="0" w:color="auto"/>
            </w:tcBorders>
            <w:shd w:val="clear" w:color="000000" w:fill="4BACC6"/>
            <w:noWrap/>
            <w:vAlign w:val="center"/>
            <w:hideMark/>
          </w:tcPr>
          <w:p w:rsidR="00F430E2" w:rsidRPr="00E85451" w:rsidRDefault="00F430E2" w:rsidP="00F430E2">
            <w:pPr>
              <w:widowControl/>
              <w:jc w:val="center"/>
              <w:rPr>
                <w:rFonts w:ascii="Arial" w:hAnsi="Arial" w:cs="Arial"/>
                <w:bCs/>
                <w:color w:val="auto"/>
                <w:sz w:val="22"/>
                <w:szCs w:val="22"/>
                <w:lang w:val="en-GB" w:eastAsia="en-GB"/>
              </w:rPr>
            </w:pPr>
            <w:r w:rsidRPr="00E85451">
              <w:rPr>
                <w:rFonts w:ascii="Arial" w:hAnsi="Arial" w:cs="Arial"/>
                <w:bCs/>
                <w:color w:val="auto"/>
                <w:sz w:val="22"/>
                <w:szCs w:val="22"/>
                <w:lang w:val="en-GB" w:eastAsia="en-GB"/>
              </w:rPr>
              <w:t>Područje</w:t>
            </w:r>
          </w:p>
        </w:tc>
        <w:tc>
          <w:tcPr>
            <w:tcW w:w="952" w:type="pct"/>
            <w:gridSpan w:val="2"/>
            <w:tcBorders>
              <w:top w:val="single" w:sz="4" w:space="0" w:color="auto"/>
              <w:left w:val="nil"/>
              <w:bottom w:val="single" w:sz="4" w:space="0" w:color="auto"/>
              <w:right w:val="single" w:sz="4" w:space="0" w:color="000000"/>
            </w:tcBorders>
            <w:shd w:val="clear" w:color="000000" w:fill="4BACC6"/>
            <w:noWrap/>
            <w:vAlign w:val="center"/>
            <w:hideMark/>
          </w:tcPr>
          <w:p w:rsidR="00F430E2" w:rsidRPr="00E85451" w:rsidRDefault="00F430E2" w:rsidP="00F430E2">
            <w:pPr>
              <w:widowControl/>
              <w:jc w:val="center"/>
              <w:rPr>
                <w:rFonts w:ascii="Arial" w:hAnsi="Arial" w:cs="Arial"/>
                <w:bCs/>
                <w:color w:val="auto"/>
                <w:sz w:val="22"/>
                <w:szCs w:val="22"/>
                <w:lang w:val="en-GB" w:eastAsia="en-GB"/>
              </w:rPr>
            </w:pPr>
            <w:r w:rsidRPr="00E85451">
              <w:rPr>
                <w:rFonts w:ascii="Arial" w:hAnsi="Arial" w:cs="Arial"/>
                <w:bCs/>
                <w:color w:val="auto"/>
                <w:sz w:val="22"/>
                <w:szCs w:val="22"/>
                <w:lang w:val="en-GB" w:eastAsia="en-GB"/>
              </w:rPr>
              <w:t>Broj zaprimljenih prijava</w:t>
            </w:r>
          </w:p>
        </w:tc>
        <w:tc>
          <w:tcPr>
            <w:tcW w:w="698" w:type="pct"/>
            <w:gridSpan w:val="3"/>
            <w:tcBorders>
              <w:top w:val="single" w:sz="4" w:space="0" w:color="auto"/>
              <w:left w:val="nil"/>
              <w:bottom w:val="single" w:sz="4" w:space="0" w:color="auto"/>
              <w:right w:val="single" w:sz="4" w:space="0" w:color="auto"/>
            </w:tcBorders>
            <w:shd w:val="clear" w:color="000000" w:fill="4BACC6"/>
            <w:vAlign w:val="center"/>
            <w:hideMark/>
          </w:tcPr>
          <w:p w:rsidR="00F430E2" w:rsidRPr="00E85451" w:rsidRDefault="00F430E2" w:rsidP="00F430E2">
            <w:pPr>
              <w:widowControl/>
              <w:jc w:val="center"/>
              <w:rPr>
                <w:rFonts w:ascii="Arial" w:hAnsi="Arial" w:cs="Arial"/>
                <w:bCs/>
                <w:color w:val="auto"/>
                <w:sz w:val="22"/>
                <w:szCs w:val="22"/>
                <w:lang w:val="en-GB" w:eastAsia="en-GB"/>
              </w:rPr>
            </w:pPr>
            <w:r w:rsidRPr="00E85451">
              <w:rPr>
                <w:rFonts w:ascii="Arial" w:hAnsi="Arial" w:cs="Arial"/>
                <w:bCs/>
                <w:color w:val="auto"/>
                <w:sz w:val="22"/>
                <w:szCs w:val="22"/>
                <w:lang w:val="en-GB" w:eastAsia="en-GB"/>
              </w:rPr>
              <w:t xml:space="preserve">Broj odobrenih prijava </w:t>
            </w:r>
          </w:p>
        </w:tc>
        <w:tc>
          <w:tcPr>
            <w:tcW w:w="495" w:type="pct"/>
            <w:gridSpan w:val="2"/>
            <w:tcBorders>
              <w:top w:val="single" w:sz="4" w:space="0" w:color="auto"/>
              <w:left w:val="nil"/>
              <w:bottom w:val="single" w:sz="4" w:space="0" w:color="auto"/>
              <w:right w:val="single" w:sz="4" w:space="0" w:color="auto"/>
            </w:tcBorders>
            <w:shd w:val="clear" w:color="000000" w:fill="4BACC6"/>
            <w:vAlign w:val="center"/>
            <w:hideMark/>
          </w:tcPr>
          <w:p w:rsidR="00F430E2" w:rsidRPr="00E85451" w:rsidRDefault="00F430E2" w:rsidP="00F430E2">
            <w:pPr>
              <w:widowControl/>
              <w:jc w:val="center"/>
              <w:rPr>
                <w:rFonts w:ascii="Arial" w:hAnsi="Arial" w:cs="Arial"/>
                <w:bCs/>
                <w:color w:val="auto"/>
                <w:sz w:val="22"/>
                <w:szCs w:val="22"/>
                <w:lang w:val="en-GB" w:eastAsia="en-GB"/>
              </w:rPr>
            </w:pPr>
            <w:r w:rsidRPr="00E85451">
              <w:rPr>
                <w:rFonts w:ascii="Arial" w:hAnsi="Arial" w:cs="Arial"/>
                <w:bCs/>
                <w:color w:val="auto"/>
                <w:sz w:val="22"/>
                <w:szCs w:val="22"/>
                <w:lang w:val="en-GB" w:eastAsia="en-GB"/>
              </w:rPr>
              <w:t xml:space="preserve">Broj ugovorenih projekata </w:t>
            </w:r>
          </w:p>
        </w:tc>
        <w:tc>
          <w:tcPr>
            <w:tcW w:w="454" w:type="pct"/>
            <w:gridSpan w:val="2"/>
            <w:tcBorders>
              <w:top w:val="single" w:sz="4" w:space="0" w:color="auto"/>
              <w:left w:val="nil"/>
              <w:bottom w:val="single" w:sz="4" w:space="0" w:color="auto"/>
              <w:right w:val="nil"/>
            </w:tcBorders>
            <w:shd w:val="clear" w:color="000000" w:fill="4BACC6"/>
            <w:vAlign w:val="center"/>
            <w:hideMark/>
          </w:tcPr>
          <w:p w:rsidR="00F430E2" w:rsidRPr="00E85451" w:rsidRDefault="00F430E2" w:rsidP="00F430E2">
            <w:pPr>
              <w:widowControl/>
              <w:jc w:val="center"/>
              <w:rPr>
                <w:rFonts w:ascii="Arial" w:hAnsi="Arial" w:cs="Arial"/>
                <w:bCs/>
                <w:color w:val="auto"/>
                <w:sz w:val="22"/>
                <w:szCs w:val="22"/>
                <w:lang w:val="en-GB" w:eastAsia="en-GB"/>
              </w:rPr>
            </w:pPr>
            <w:r w:rsidRPr="00E85451">
              <w:rPr>
                <w:rFonts w:ascii="Arial" w:hAnsi="Arial" w:cs="Arial"/>
                <w:bCs/>
                <w:color w:val="auto"/>
                <w:sz w:val="22"/>
                <w:szCs w:val="22"/>
                <w:lang w:val="en-GB" w:eastAsia="en-GB"/>
              </w:rPr>
              <w:t xml:space="preserve"> Prolaznost projekata </w:t>
            </w:r>
          </w:p>
        </w:tc>
        <w:tc>
          <w:tcPr>
            <w:tcW w:w="857" w:type="pct"/>
            <w:tcBorders>
              <w:top w:val="single" w:sz="4" w:space="0" w:color="auto"/>
              <w:left w:val="single" w:sz="4" w:space="0" w:color="auto"/>
              <w:bottom w:val="single" w:sz="4" w:space="0" w:color="auto"/>
              <w:right w:val="nil"/>
            </w:tcBorders>
            <w:shd w:val="clear" w:color="000000" w:fill="4BACC6"/>
            <w:vAlign w:val="center"/>
            <w:hideMark/>
          </w:tcPr>
          <w:p w:rsidR="00F430E2" w:rsidRPr="00E85451" w:rsidRDefault="00F430E2" w:rsidP="00F430E2">
            <w:pPr>
              <w:widowControl/>
              <w:jc w:val="center"/>
              <w:rPr>
                <w:rFonts w:ascii="Arial" w:hAnsi="Arial" w:cs="Arial"/>
                <w:bCs/>
                <w:color w:val="auto"/>
                <w:sz w:val="22"/>
                <w:szCs w:val="22"/>
                <w:lang w:val="de-CH" w:eastAsia="en-GB"/>
              </w:rPr>
            </w:pPr>
            <w:r w:rsidRPr="00E85451">
              <w:rPr>
                <w:rFonts w:ascii="Arial" w:hAnsi="Arial" w:cs="Arial"/>
                <w:bCs/>
                <w:color w:val="auto"/>
                <w:sz w:val="22"/>
                <w:szCs w:val="22"/>
                <w:lang w:val="de-CH" w:eastAsia="en-GB"/>
              </w:rPr>
              <w:t xml:space="preserve">Procijenjeni broj sudionika projektnih aktivnosti </w:t>
            </w: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de-CH"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de-CH" w:eastAsia="en-GB"/>
              </w:rPr>
            </w:pPr>
          </w:p>
        </w:tc>
      </w:tr>
      <w:tr w:rsidR="00F430E2" w:rsidRPr="00E85451" w:rsidTr="00F430E2">
        <w:trPr>
          <w:trHeight w:val="245"/>
        </w:trPr>
        <w:tc>
          <w:tcPr>
            <w:tcW w:w="1376" w:type="pct"/>
            <w:tcBorders>
              <w:top w:val="nil"/>
              <w:left w:val="single" w:sz="4" w:space="0" w:color="auto"/>
              <w:bottom w:val="single" w:sz="4" w:space="0" w:color="auto"/>
              <w:right w:val="single" w:sz="4" w:space="0" w:color="auto"/>
            </w:tcBorders>
            <w:shd w:val="clear" w:color="000000" w:fill="D9D9D9"/>
            <w:noWrap/>
            <w:vAlign w:val="bottom"/>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KA 1</w:t>
            </w:r>
          </w:p>
        </w:tc>
        <w:tc>
          <w:tcPr>
            <w:tcW w:w="952" w:type="pct"/>
            <w:gridSpan w:val="2"/>
            <w:tcBorders>
              <w:top w:val="single" w:sz="4" w:space="0" w:color="auto"/>
              <w:left w:val="nil"/>
              <w:bottom w:val="single" w:sz="4" w:space="0" w:color="auto"/>
              <w:right w:val="single" w:sz="4" w:space="0" w:color="000000"/>
            </w:tcBorders>
            <w:shd w:val="clear" w:color="000000" w:fill="D9D9D9"/>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698" w:type="pct"/>
            <w:gridSpan w:val="3"/>
            <w:tcBorders>
              <w:top w:val="single" w:sz="4" w:space="0" w:color="auto"/>
              <w:left w:val="nil"/>
              <w:bottom w:val="single" w:sz="4" w:space="0" w:color="auto"/>
              <w:right w:val="single" w:sz="4" w:space="0" w:color="000000"/>
            </w:tcBorders>
            <w:shd w:val="clear" w:color="000000" w:fill="D9D9D9"/>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495" w:type="pct"/>
            <w:gridSpan w:val="2"/>
            <w:tcBorders>
              <w:top w:val="nil"/>
              <w:left w:val="nil"/>
              <w:bottom w:val="single" w:sz="4" w:space="0" w:color="auto"/>
              <w:right w:val="single" w:sz="4" w:space="0" w:color="auto"/>
            </w:tcBorders>
            <w:shd w:val="clear" w:color="000000" w:fill="D9D9D9"/>
            <w:noWrap/>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454" w:type="pct"/>
            <w:gridSpan w:val="2"/>
            <w:tcBorders>
              <w:top w:val="nil"/>
              <w:left w:val="nil"/>
              <w:bottom w:val="single" w:sz="4" w:space="0" w:color="auto"/>
              <w:right w:val="single" w:sz="4" w:space="0" w:color="auto"/>
            </w:tcBorders>
            <w:shd w:val="clear" w:color="000000" w:fill="D9D9D9"/>
            <w:noWrap/>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857" w:type="pct"/>
            <w:tcBorders>
              <w:top w:val="nil"/>
              <w:left w:val="nil"/>
              <w:bottom w:val="single" w:sz="4" w:space="0" w:color="auto"/>
              <w:right w:val="single" w:sz="4" w:space="0" w:color="auto"/>
            </w:tcBorders>
            <w:shd w:val="clear" w:color="000000" w:fill="D9D9D9"/>
            <w:noWrap/>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245"/>
        </w:trPr>
        <w:tc>
          <w:tcPr>
            <w:tcW w:w="1376" w:type="pct"/>
            <w:tcBorders>
              <w:top w:val="nil"/>
              <w:left w:val="single" w:sz="4" w:space="0" w:color="auto"/>
              <w:bottom w:val="single" w:sz="4" w:space="0" w:color="auto"/>
              <w:right w:val="single" w:sz="4" w:space="0" w:color="auto"/>
            </w:tcBorders>
            <w:shd w:val="clear" w:color="000000" w:fill="FFFFFF"/>
            <w:noWrap/>
            <w:vAlign w:val="bottom"/>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Opće obrazovanje</w:t>
            </w:r>
          </w:p>
        </w:tc>
        <w:tc>
          <w:tcPr>
            <w:tcW w:w="95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133</w:t>
            </w:r>
          </w:p>
        </w:tc>
        <w:tc>
          <w:tcPr>
            <w:tcW w:w="698" w:type="pct"/>
            <w:gridSpan w:val="3"/>
            <w:tcBorders>
              <w:top w:val="single" w:sz="4" w:space="0" w:color="auto"/>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22</w:t>
            </w:r>
          </w:p>
        </w:tc>
        <w:tc>
          <w:tcPr>
            <w:tcW w:w="495"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22</w:t>
            </w:r>
          </w:p>
        </w:tc>
        <w:tc>
          <w:tcPr>
            <w:tcW w:w="454"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16,5%</w:t>
            </w:r>
          </w:p>
        </w:tc>
        <w:tc>
          <w:tcPr>
            <w:tcW w:w="857" w:type="pct"/>
            <w:tcBorders>
              <w:top w:val="nil"/>
              <w:left w:val="nil"/>
              <w:bottom w:val="single" w:sz="4" w:space="0" w:color="auto"/>
              <w:right w:val="single" w:sz="4" w:space="0" w:color="auto"/>
            </w:tcBorders>
            <w:shd w:val="clear" w:color="000000" w:fill="FFFFFF"/>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213</w:t>
            </w: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245"/>
        </w:trPr>
        <w:tc>
          <w:tcPr>
            <w:tcW w:w="1376" w:type="pct"/>
            <w:tcBorders>
              <w:top w:val="nil"/>
              <w:left w:val="single" w:sz="4" w:space="0" w:color="auto"/>
              <w:bottom w:val="single" w:sz="4" w:space="0" w:color="auto"/>
              <w:right w:val="single" w:sz="4" w:space="0" w:color="auto"/>
            </w:tcBorders>
            <w:shd w:val="clear" w:color="000000" w:fill="FFFFFF"/>
            <w:vAlign w:val="bottom"/>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Strukovno obrazovanje i osposobljavanje</w:t>
            </w:r>
          </w:p>
        </w:tc>
        <w:tc>
          <w:tcPr>
            <w:tcW w:w="95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74</w:t>
            </w:r>
          </w:p>
        </w:tc>
        <w:tc>
          <w:tcPr>
            <w:tcW w:w="698" w:type="pct"/>
            <w:gridSpan w:val="3"/>
            <w:tcBorders>
              <w:top w:val="single" w:sz="4" w:space="0" w:color="auto"/>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36</w:t>
            </w:r>
          </w:p>
        </w:tc>
        <w:tc>
          <w:tcPr>
            <w:tcW w:w="495"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36</w:t>
            </w:r>
          </w:p>
        </w:tc>
        <w:tc>
          <w:tcPr>
            <w:tcW w:w="454"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48,6%</w:t>
            </w:r>
          </w:p>
        </w:tc>
        <w:tc>
          <w:tcPr>
            <w:tcW w:w="857" w:type="pct"/>
            <w:tcBorders>
              <w:top w:val="nil"/>
              <w:left w:val="nil"/>
              <w:bottom w:val="single" w:sz="4" w:space="0" w:color="auto"/>
              <w:right w:val="single" w:sz="4" w:space="0" w:color="auto"/>
            </w:tcBorders>
            <w:shd w:val="clear" w:color="000000" w:fill="FFFFFF"/>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212 - osoblje; 957 - učenici</w:t>
            </w: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245"/>
        </w:trPr>
        <w:tc>
          <w:tcPr>
            <w:tcW w:w="1376" w:type="pct"/>
            <w:tcBorders>
              <w:top w:val="nil"/>
              <w:left w:val="single" w:sz="4" w:space="0" w:color="auto"/>
              <w:bottom w:val="single" w:sz="4" w:space="0" w:color="auto"/>
              <w:right w:val="single" w:sz="4" w:space="0" w:color="auto"/>
            </w:tcBorders>
            <w:shd w:val="clear" w:color="000000" w:fill="FFFFFF"/>
            <w:noWrap/>
            <w:vAlign w:val="bottom"/>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Visoko obrazovanje</w:t>
            </w:r>
          </w:p>
        </w:tc>
        <w:tc>
          <w:tcPr>
            <w:tcW w:w="95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37</w:t>
            </w:r>
          </w:p>
        </w:tc>
        <w:tc>
          <w:tcPr>
            <w:tcW w:w="698" w:type="pct"/>
            <w:gridSpan w:val="3"/>
            <w:tcBorders>
              <w:top w:val="single" w:sz="4" w:space="0" w:color="auto"/>
              <w:left w:val="nil"/>
              <w:bottom w:val="single" w:sz="4" w:space="0" w:color="auto"/>
              <w:right w:val="single" w:sz="4" w:space="0" w:color="auto"/>
            </w:tcBorders>
            <w:shd w:val="clear" w:color="auto" w:fill="auto"/>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36</w:t>
            </w:r>
          </w:p>
        </w:tc>
        <w:tc>
          <w:tcPr>
            <w:tcW w:w="495" w:type="pct"/>
            <w:gridSpan w:val="2"/>
            <w:tcBorders>
              <w:top w:val="nil"/>
              <w:left w:val="nil"/>
              <w:bottom w:val="single" w:sz="4" w:space="0" w:color="auto"/>
              <w:right w:val="single" w:sz="4" w:space="0" w:color="auto"/>
            </w:tcBorders>
            <w:shd w:val="clear" w:color="auto" w:fill="auto"/>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36</w:t>
            </w:r>
          </w:p>
        </w:tc>
        <w:tc>
          <w:tcPr>
            <w:tcW w:w="454" w:type="pct"/>
            <w:gridSpan w:val="2"/>
            <w:tcBorders>
              <w:top w:val="nil"/>
              <w:left w:val="nil"/>
              <w:bottom w:val="single" w:sz="4" w:space="0" w:color="auto"/>
              <w:right w:val="single" w:sz="4" w:space="0" w:color="auto"/>
            </w:tcBorders>
            <w:shd w:val="clear" w:color="000000" w:fill="FFFFFF"/>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97,3%</w:t>
            </w:r>
          </w:p>
        </w:tc>
        <w:tc>
          <w:tcPr>
            <w:tcW w:w="857" w:type="pct"/>
            <w:tcBorders>
              <w:top w:val="nil"/>
              <w:left w:val="nil"/>
              <w:bottom w:val="single" w:sz="4" w:space="0" w:color="auto"/>
              <w:right w:val="single" w:sz="4" w:space="0" w:color="auto"/>
            </w:tcBorders>
            <w:shd w:val="clear" w:color="000000" w:fill="FFFFFF"/>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470 - osoblje; 1569 - studenti </w:t>
            </w: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245"/>
        </w:trPr>
        <w:tc>
          <w:tcPr>
            <w:tcW w:w="1376" w:type="pct"/>
            <w:tcBorders>
              <w:top w:val="nil"/>
              <w:left w:val="single" w:sz="4" w:space="0" w:color="auto"/>
              <w:bottom w:val="single" w:sz="4" w:space="0" w:color="auto"/>
              <w:right w:val="single" w:sz="4" w:space="0" w:color="auto"/>
            </w:tcBorders>
            <w:shd w:val="clear" w:color="000000" w:fill="FFFFFF"/>
            <w:noWrap/>
            <w:vAlign w:val="bottom"/>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Opće obrazovanje odraslih</w:t>
            </w:r>
          </w:p>
        </w:tc>
        <w:tc>
          <w:tcPr>
            <w:tcW w:w="95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22</w:t>
            </w:r>
          </w:p>
        </w:tc>
        <w:tc>
          <w:tcPr>
            <w:tcW w:w="698" w:type="pct"/>
            <w:gridSpan w:val="3"/>
            <w:tcBorders>
              <w:top w:val="single" w:sz="4" w:space="0" w:color="auto"/>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10</w:t>
            </w:r>
          </w:p>
        </w:tc>
        <w:tc>
          <w:tcPr>
            <w:tcW w:w="495"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10</w:t>
            </w:r>
          </w:p>
        </w:tc>
        <w:tc>
          <w:tcPr>
            <w:tcW w:w="454"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45,5%</w:t>
            </w:r>
          </w:p>
        </w:tc>
        <w:tc>
          <w:tcPr>
            <w:tcW w:w="857" w:type="pct"/>
            <w:tcBorders>
              <w:top w:val="nil"/>
              <w:left w:val="nil"/>
              <w:bottom w:val="single" w:sz="4" w:space="0" w:color="auto"/>
              <w:right w:val="single" w:sz="4" w:space="0" w:color="auto"/>
            </w:tcBorders>
            <w:shd w:val="clear" w:color="000000" w:fill="FFFFFF"/>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90</w:t>
            </w: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245"/>
        </w:trPr>
        <w:tc>
          <w:tcPr>
            <w:tcW w:w="1376" w:type="pct"/>
            <w:tcBorders>
              <w:top w:val="nil"/>
              <w:left w:val="single" w:sz="4" w:space="0" w:color="auto"/>
              <w:bottom w:val="single" w:sz="4" w:space="0" w:color="auto"/>
              <w:right w:val="single" w:sz="4" w:space="0" w:color="auto"/>
            </w:tcBorders>
            <w:shd w:val="clear" w:color="000000" w:fill="FFFFFF"/>
            <w:noWrap/>
            <w:vAlign w:val="bottom"/>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Mladi</w:t>
            </w:r>
          </w:p>
        </w:tc>
        <w:tc>
          <w:tcPr>
            <w:tcW w:w="952"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272</w:t>
            </w:r>
          </w:p>
        </w:tc>
        <w:tc>
          <w:tcPr>
            <w:tcW w:w="698" w:type="pct"/>
            <w:gridSpan w:val="3"/>
            <w:tcBorders>
              <w:top w:val="single" w:sz="4" w:space="0" w:color="auto"/>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125</w:t>
            </w:r>
          </w:p>
        </w:tc>
        <w:tc>
          <w:tcPr>
            <w:tcW w:w="495"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125</w:t>
            </w:r>
          </w:p>
        </w:tc>
        <w:tc>
          <w:tcPr>
            <w:tcW w:w="454"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46,0%</w:t>
            </w:r>
          </w:p>
        </w:tc>
        <w:tc>
          <w:tcPr>
            <w:tcW w:w="857" w:type="pct"/>
            <w:tcBorders>
              <w:top w:val="nil"/>
              <w:left w:val="nil"/>
              <w:bottom w:val="single" w:sz="4" w:space="0" w:color="auto"/>
              <w:right w:val="single" w:sz="4" w:space="0" w:color="auto"/>
            </w:tcBorders>
            <w:shd w:val="clear" w:color="000000" w:fill="FFFFFF"/>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2701</w:t>
            </w: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245"/>
        </w:trPr>
        <w:tc>
          <w:tcPr>
            <w:tcW w:w="1376" w:type="pct"/>
            <w:tcBorders>
              <w:top w:val="nil"/>
              <w:left w:val="single" w:sz="4" w:space="0" w:color="auto"/>
              <w:bottom w:val="single" w:sz="4" w:space="0" w:color="auto"/>
              <w:right w:val="single" w:sz="4" w:space="0" w:color="auto"/>
            </w:tcBorders>
            <w:shd w:val="clear" w:color="000000" w:fill="4BACC6"/>
            <w:noWrap/>
            <w:vAlign w:val="bottom"/>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KA1 UKUPNO:</w:t>
            </w:r>
          </w:p>
        </w:tc>
        <w:tc>
          <w:tcPr>
            <w:tcW w:w="952" w:type="pct"/>
            <w:gridSpan w:val="2"/>
            <w:tcBorders>
              <w:top w:val="single" w:sz="4" w:space="0" w:color="auto"/>
              <w:left w:val="nil"/>
              <w:bottom w:val="single" w:sz="4" w:space="0" w:color="auto"/>
              <w:right w:val="single" w:sz="4" w:space="0" w:color="000000"/>
            </w:tcBorders>
            <w:shd w:val="clear" w:color="000000" w:fill="4BACC6"/>
            <w:noWrap/>
            <w:vAlign w:val="bottom"/>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538</w:t>
            </w:r>
          </w:p>
        </w:tc>
        <w:tc>
          <w:tcPr>
            <w:tcW w:w="698" w:type="pct"/>
            <w:gridSpan w:val="3"/>
            <w:tcBorders>
              <w:top w:val="single" w:sz="4" w:space="0" w:color="auto"/>
              <w:left w:val="nil"/>
              <w:bottom w:val="single" w:sz="4" w:space="0" w:color="auto"/>
              <w:right w:val="single" w:sz="4" w:space="0" w:color="auto"/>
            </w:tcBorders>
            <w:shd w:val="clear" w:color="000000" w:fill="4BACC6"/>
            <w:noWrap/>
            <w:vAlign w:val="bottom"/>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229</w:t>
            </w:r>
          </w:p>
        </w:tc>
        <w:tc>
          <w:tcPr>
            <w:tcW w:w="495" w:type="pct"/>
            <w:gridSpan w:val="2"/>
            <w:tcBorders>
              <w:top w:val="nil"/>
              <w:left w:val="nil"/>
              <w:bottom w:val="single" w:sz="4" w:space="0" w:color="auto"/>
              <w:right w:val="single" w:sz="4" w:space="0" w:color="auto"/>
            </w:tcBorders>
            <w:shd w:val="clear" w:color="000000" w:fill="4BACC6"/>
            <w:noWrap/>
            <w:vAlign w:val="bottom"/>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229</w:t>
            </w:r>
          </w:p>
        </w:tc>
        <w:tc>
          <w:tcPr>
            <w:tcW w:w="454" w:type="pct"/>
            <w:gridSpan w:val="2"/>
            <w:tcBorders>
              <w:top w:val="nil"/>
              <w:left w:val="nil"/>
              <w:bottom w:val="single" w:sz="4" w:space="0" w:color="auto"/>
              <w:right w:val="single" w:sz="4" w:space="0" w:color="auto"/>
            </w:tcBorders>
            <w:shd w:val="clear" w:color="000000" w:fill="4BACC6"/>
            <w:noWrap/>
            <w:vAlign w:val="bottom"/>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42,6%</w:t>
            </w:r>
          </w:p>
        </w:tc>
        <w:tc>
          <w:tcPr>
            <w:tcW w:w="857" w:type="pct"/>
            <w:tcBorders>
              <w:top w:val="nil"/>
              <w:left w:val="nil"/>
              <w:bottom w:val="single" w:sz="4" w:space="0" w:color="auto"/>
              <w:right w:val="single" w:sz="4" w:space="0" w:color="auto"/>
            </w:tcBorders>
            <w:shd w:val="clear" w:color="000000" w:fill="4BACC6"/>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245"/>
        </w:trPr>
        <w:tc>
          <w:tcPr>
            <w:tcW w:w="1376" w:type="pct"/>
            <w:tcBorders>
              <w:top w:val="nil"/>
              <w:left w:val="single" w:sz="4" w:space="0" w:color="auto"/>
              <w:bottom w:val="single" w:sz="4" w:space="0" w:color="auto"/>
              <w:right w:val="single" w:sz="4" w:space="0" w:color="auto"/>
            </w:tcBorders>
            <w:shd w:val="clear" w:color="000000" w:fill="BFBFBF"/>
            <w:noWrap/>
            <w:vAlign w:val="bottom"/>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KA 2</w:t>
            </w:r>
          </w:p>
        </w:tc>
        <w:tc>
          <w:tcPr>
            <w:tcW w:w="952" w:type="pct"/>
            <w:gridSpan w:val="2"/>
            <w:tcBorders>
              <w:top w:val="single" w:sz="4" w:space="0" w:color="auto"/>
              <w:left w:val="nil"/>
              <w:bottom w:val="single" w:sz="4" w:space="0" w:color="auto"/>
              <w:right w:val="single" w:sz="4" w:space="0" w:color="000000"/>
            </w:tcBorders>
            <w:shd w:val="clear" w:color="000000" w:fill="BFBFBF"/>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698" w:type="pct"/>
            <w:gridSpan w:val="3"/>
            <w:tcBorders>
              <w:top w:val="single" w:sz="4" w:space="0" w:color="auto"/>
              <w:left w:val="nil"/>
              <w:bottom w:val="single" w:sz="4" w:space="0" w:color="auto"/>
              <w:right w:val="single" w:sz="4" w:space="0" w:color="000000"/>
            </w:tcBorders>
            <w:shd w:val="clear" w:color="000000" w:fill="BFBFBF"/>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495" w:type="pct"/>
            <w:gridSpan w:val="2"/>
            <w:tcBorders>
              <w:top w:val="nil"/>
              <w:left w:val="nil"/>
              <w:bottom w:val="single" w:sz="4" w:space="0" w:color="auto"/>
              <w:right w:val="single" w:sz="4" w:space="0" w:color="auto"/>
            </w:tcBorders>
            <w:shd w:val="clear" w:color="000000" w:fill="BFBFBF"/>
            <w:noWrap/>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454" w:type="pct"/>
            <w:gridSpan w:val="2"/>
            <w:tcBorders>
              <w:top w:val="nil"/>
              <w:left w:val="nil"/>
              <w:bottom w:val="single" w:sz="4" w:space="0" w:color="auto"/>
              <w:right w:val="single" w:sz="4" w:space="0" w:color="auto"/>
            </w:tcBorders>
            <w:shd w:val="clear" w:color="000000" w:fill="BFBFBF"/>
            <w:noWrap/>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857" w:type="pct"/>
            <w:tcBorders>
              <w:top w:val="nil"/>
              <w:left w:val="nil"/>
              <w:bottom w:val="single" w:sz="4" w:space="0" w:color="auto"/>
              <w:right w:val="single" w:sz="4" w:space="0" w:color="auto"/>
            </w:tcBorders>
            <w:shd w:val="clear" w:color="000000" w:fill="BFBFBF"/>
            <w:noWrap/>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270"/>
        </w:trPr>
        <w:tc>
          <w:tcPr>
            <w:tcW w:w="1376" w:type="pct"/>
            <w:tcBorders>
              <w:top w:val="nil"/>
              <w:left w:val="single" w:sz="4" w:space="0" w:color="auto"/>
              <w:bottom w:val="single" w:sz="4" w:space="0" w:color="auto"/>
              <w:right w:val="single" w:sz="4" w:space="0" w:color="auto"/>
            </w:tcBorders>
            <w:shd w:val="clear" w:color="auto" w:fill="auto"/>
            <w:noWrap/>
            <w:vAlign w:val="bottom"/>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Opće obrazovanje*</w:t>
            </w:r>
          </w:p>
        </w:tc>
        <w:tc>
          <w:tcPr>
            <w:tcW w:w="95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45</w:t>
            </w:r>
          </w:p>
        </w:tc>
        <w:tc>
          <w:tcPr>
            <w:tcW w:w="698" w:type="pct"/>
            <w:gridSpan w:val="3"/>
            <w:tcBorders>
              <w:top w:val="single" w:sz="4" w:space="0" w:color="auto"/>
              <w:left w:val="nil"/>
              <w:bottom w:val="single" w:sz="4" w:space="0" w:color="auto"/>
              <w:right w:val="single" w:sz="4" w:space="0" w:color="auto"/>
            </w:tcBorders>
            <w:shd w:val="clear" w:color="auto" w:fill="auto"/>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7</w:t>
            </w:r>
          </w:p>
        </w:tc>
        <w:tc>
          <w:tcPr>
            <w:tcW w:w="495"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7</w:t>
            </w:r>
          </w:p>
        </w:tc>
        <w:tc>
          <w:tcPr>
            <w:tcW w:w="454"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15,6%</w:t>
            </w:r>
          </w:p>
        </w:tc>
        <w:tc>
          <w:tcPr>
            <w:tcW w:w="857" w:type="pct"/>
            <w:vMerge w:val="restart"/>
            <w:tcBorders>
              <w:top w:val="nil"/>
              <w:left w:val="single" w:sz="4" w:space="0" w:color="auto"/>
              <w:bottom w:val="single" w:sz="4" w:space="0" w:color="000000"/>
              <w:right w:val="single" w:sz="4" w:space="0" w:color="auto"/>
            </w:tcBorders>
            <w:shd w:val="pct12" w:color="000000"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7775**</w:t>
            </w: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245"/>
        </w:trPr>
        <w:tc>
          <w:tcPr>
            <w:tcW w:w="23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30E2" w:rsidRPr="00E85451" w:rsidRDefault="00F430E2" w:rsidP="00F430E2">
            <w:pPr>
              <w:widowControl/>
              <w:rPr>
                <w:rFonts w:ascii="Arial" w:hAnsi="Arial" w:cs="Arial"/>
                <w:i/>
                <w:iCs/>
                <w:color w:val="auto"/>
                <w:sz w:val="22"/>
                <w:szCs w:val="22"/>
                <w:lang w:eastAsia="en-GB"/>
              </w:rPr>
            </w:pPr>
            <w:r w:rsidRPr="00E85451">
              <w:rPr>
                <w:rFonts w:ascii="Arial" w:hAnsi="Arial" w:cs="Arial"/>
                <w:i/>
                <w:iCs/>
                <w:color w:val="auto"/>
                <w:sz w:val="22"/>
                <w:szCs w:val="22"/>
                <w:lang w:eastAsia="en-GB"/>
              </w:rPr>
              <w:t>Partnerstva koja uključuju samo škole</w:t>
            </w:r>
          </w:p>
        </w:tc>
        <w:tc>
          <w:tcPr>
            <w:tcW w:w="698" w:type="pct"/>
            <w:gridSpan w:val="3"/>
            <w:tcBorders>
              <w:top w:val="single" w:sz="4" w:space="0" w:color="auto"/>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5</w:t>
            </w:r>
          </w:p>
        </w:tc>
        <w:tc>
          <w:tcPr>
            <w:tcW w:w="495"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5</w:t>
            </w:r>
          </w:p>
        </w:tc>
        <w:tc>
          <w:tcPr>
            <w:tcW w:w="454"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857" w:type="pct"/>
            <w:vMerge/>
            <w:tcBorders>
              <w:top w:val="nil"/>
              <w:left w:val="single" w:sz="4" w:space="0" w:color="auto"/>
              <w:bottom w:val="single" w:sz="4" w:space="0" w:color="000000"/>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245"/>
        </w:trPr>
        <w:tc>
          <w:tcPr>
            <w:tcW w:w="232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30E2" w:rsidRPr="00E85451" w:rsidRDefault="00F430E2" w:rsidP="00F430E2">
            <w:pPr>
              <w:widowControl/>
              <w:rPr>
                <w:rFonts w:ascii="Arial" w:hAnsi="Arial" w:cs="Arial"/>
                <w:i/>
                <w:iCs/>
                <w:color w:val="auto"/>
                <w:sz w:val="22"/>
                <w:szCs w:val="22"/>
                <w:lang w:eastAsia="en-GB"/>
              </w:rPr>
            </w:pPr>
            <w:r w:rsidRPr="00E85451">
              <w:rPr>
                <w:rFonts w:ascii="Arial" w:hAnsi="Arial" w:cs="Arial"/>
                <w:i/>
                <w:iCs/>
                <w:color w:val="auto"/>
                <w:sz w:val="22"/>
                <w:szCs w:val="22"/>
                <w:lang w:eastAsia="en-GB"/>
              </w:rPr>
              <w:t>Partnerstva koja ne uključuju samo škole</w:t>
            </w:r>
          </w:p>
        </w:tc>
        <w:tc>
          <w:tcPr>
            <w:tcW w:w="698" w:type="pct"/>
            <w:gridSpan w:val="3"/>
            <w:tcBorders>
              <w:top w:val="single" w:sz="4" w:space="0" w:color="auto"/>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2</w:t>
            </w:r>
          </w:p>
        </w:tc>
        <w:tc>
          <w:tcPr>
            <w:tcW w:w="495"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2</w:t>
            </w:r>
          </w:p>
        </w:tc>
        <w:tc>
          <w:tcPr>
            <w:tcW w:w="454"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857" w:type="pct"/>
            <w:vMerge/>
            <w:tcBorders>
              <w:top w:val="nil"/>
              <w:left w:val="single" w:sz="4" w:space="0" w:color="auto"/>
              <w:bottom w:val="single" w:sz="4" w:space="0" w:color="000000"/>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245"/>
        </w:trPr>
        <w:tc>
          <w:tcPr>
            <w:tcW w:w="1376" w:type="pct"/>
            <w:tcBorders>
              <w:top w:val="nil"/>
              <w:left w:val="single" w:sz="4" w:space="0" w:color="auto"/>
              <w:bottom w:val="single" w:sz="4" w:space="0" w:color="auto"/>
              <w:right w:val="single" w:sz="4" w:space="0" w:color="auto"/>
            </w:tcBorders>
            <w:shd w:val="clear" w:color="auto" w:fill="auto"/>
            <w:vAlign w:val="bottom"/>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Strukovno obrazovanje i osposobljavanje</w:t>
            </w:r>
          </w:p>
        </w:tc>
        <w:tc>
          <w:tcPr>
            <w:tcW w:w="952" w:type="pct"/>
            <w:gridSpan w:val="2"/>
            <w:tcBorders>
              <w:top w:val="single" w:sz="4" w:space="0" w:color="auto"/>
              <w:left w:val="nil"/>
              <w:bottom w:val="single" w:sz="4" w:space="0" w:color="auto"/>
              <w:right w:val="single" w:sz="4" w:space="0" w:color="000000"/>
            </w:tcBorders>
            <w:shd w:val="clear" w:color="auto" w:fill="auto"/>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20</w:t>
            </w:r>
          </w:p>
        </w:tc>
        <w:tc>
          <w:tcPr>
            <w:tcW w:w="698" w:type="pct"/>
            <w:gridSpan w:val="3"/>
            <w:tcBorders>
              <w:top w:val="single" w:sz="4" w:space="0" w:color="auto"/>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3</w:t>
            </w:r>
          </w:p>
        </w:tc>
        <w:tc>
          <w:tcPr>
            <w:tcW w:w="495"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3</w:t>
            </w:r>
          </w:p>
        </w:tc>
        <w:tc>
          <w:tcPr>
            <w:tcW w:w="454"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15,0%</w:t>
            </w:r>
          </w:p>
        </w:tc>
        <w:tc>
          <w:tcPr>
            <w:tcW w:w="857" w:type="pct"/>
            <w:vMerge/>
            <w:tcBorders>
              <w:top w:val="nil"/>
              <w:left w:val="single" w:sz="4" w:space="0" w:color="auto"/>
              <w:bottom w:val="single" w:sz="4" w:space="0" w:color="000000"/>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208"/>
        </w:trPr>
        <w:tc>
          <w:tcPr>
            <w:tcW w:w="1376" w:type="pct"/>
            <w:tcBorders>
              <w:top w:val="nil"/>
              <w:left w:val="single" w:sz="4" w:space="0" w:color="auto"/>
              <w:bottom w:val="single" w:sz="4" w:space="0" w:color="auto"/>
              <w:right w:val="single" w:sz="4" w:space="0" w:color="auto"/>
            </w:tcBorders>
            <w:shd w:val="clear" w:color="auto" w:fill="auto"/>
            <w:noWrap/>
            <w:vAlign w:val="bottom"/>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Visoko obrazovanje</w:t>
            </w:r>
          </w:p>
        </w:tc>
        <w:tc>
          <w:tcPr>
            <w:tcW w:w="95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11</w:t>
            </w:r>
          </w:p>
        </w:tc>
        <w:tc>
          <w:tcPr>
            <w:tcW w:w="698" w:type="pct"/>
            <w:gridSpan w:val="3"/>
            <w:tcBorders>
              <w:top w:val="single" w:sz="4" w:space="0" w:color="auto"/>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2</w:t>
            </w:r>
          </w:p>
        </w:tc>
        <w:tc>
          <w:tcPr>
            <w:tcW w:w="495"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2</w:t>
            </w:r>
          </w:p>
        </w:tc>
        <w:tc>
          <w:tcPr>
            <w:tcW w:w="454"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18,2%</w:t>
            </w:r>
          </w:p>
        </w:tc>
        <w:tc>
          <w:tcPr>
            <w:tcW w:w="857" w:type="pct"/>
            <w:vMerge/>
            <w:tcBorders>
              <w:top w:val="nil"/>
              <w:left w:val="single" w:sz="4" w:space="0" w:color="auto"/>
              <w:bottom w:val="single" w:sz="4" w:space="0" w:color="000000"/>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245"/>
        </w:trPr>
        <w:tc>
          <w:tcPr>
            <w:tcW w:w="1376" w:type="pct"/>
            <w:tcBorders>
              <w:top w:val="nil"/>
              <w:left w:val="single" w:sz="4" w:space="0" w:color="auto"/>
              <w:bottom w:val="single" w:sz="4" w:space="0" w:color="auto"/>
              <w:right w:val="single" w:sz="4" w:space="0" w:color="auto"/>
            </w:tcBorders>
            <w:shd w:val="clear" w:color="auto" w:fill="auto"/>
            <w:noWrap/>
            <w:vAlign w:val="bottom"/>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Opće obrazovanje odraslih</w:t>
            </w:r>
          </w:p>
        </w:tc>
        <w:tc>
          <w:tcPr>
            <w:tcW w:w="952" w:type="pct"/>
            <w:gridSpan w:val="2"/>
            <w:tcBorders>
              <w:top w:val="single" w:sz="4" w:space="0" w:color="auto"/>
              <w:left w:val="nil"/>
              <w:bottom w:val="single" w:sz="4" w:space="0" w:color="auto"/>
              <w:right w:val="single" w:sz="4" w:space="0" w:color="000000"/>
            </w:tcBorders>
            <w:shd w:val="clear" w:color="auto" w:fill="auto"/>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14</w:t>
            </w:r>
          </w:p>
        </w:tc>
        <w:tc>
          <w:tcPr>
            <w:tcW w:w="698" w:type="pct"/>
            <w:gridSpan w:val="3"/>
            <w:tcBorders>
              <w:top w:val="single" w:sz="4" w:space="0" w:color="auto"/>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2</w:t>
            </w:r>
          </w:p>
        </w:tc>
        <w:tc>
          <w:tcPr>
            <w:tcW w:w="495"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2</w:t>
            </w:r>
          </w:p>
        </w:tc>
        <w:tc>
          <w:tcPr>
            <w:tcW w:w="454"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14,3%</w:t>
            </w:r>
          </w:p>
        </w:tc>
        <w:tc>
          <w:tcPr>
            <w:tcW w:w="857" w:type="pct"/>
            <w:vMerge/>
            <w:tcBorders>
              <w:top w:val="nil"/>
              <w:left w:val="single" w:sz="4" w:space="0" w:color="auto"/>
              <w:bottom w:val="single" w:sz="4" w:space="0" w:color="000000"/>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245"/>
        </w:trPr>
        <w:tc>
          <w:tcPr>
            <w:tcW w:w="1376" w:type="pct"/>
            <w:tcBorders>
              <w:top w:val="nil"/>
              <w:left w:val="single" w:sz="4" w:space="0" w:color="auto"/>
              <w:bottom w:val="single" w:sz="4" w:space="0" w:color="auto"/>
              <w:right w:val="single" w:sz="4" w:space="0" w:color="auto"/>
            </w:tcBorders>
            <w:shd w:val="clear" w:color="auto" w:fill="auto"/>
            <w:noWrap/>
            <w:vAlign w:val="bottom"/>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Mladi</w:t>
            </w:r>
          </w:p>
        </w:tc>
        <w:tc>
          <w:tcPr>
            <w:tcW w:w="952" w:type="pct"/>
            <w:gridSpan w:val="2"/>
            <w:tcBorders>
              <w:top w:val="single" w:sz="4" w:space="0" w:color="auto"/>
              <w:left w:val="nil"/>
              <w:bottom w:val="single" w:sz="4" w:space="0" w:color="auto"/>
              <w:right w:val="single" w:sz="4" w:space="0" w:color="000000"/>
            </w:tcBorders>
            <w:shd w:val="clear" w:color="000000" w:fill="FFFFFF"/>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18</w:t>
            </w:r>
          </w:p>
        </w:tc>
        <w:tc>
          <w:tcPr>
            <w:tcW w:w="698" w:type="pct"/>
            <w:gridSpan w:val="3"/>
            <w:tcBorders>
              <w:top w:val="single" w:sz="4" w:space="0" w:color="auto"/>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3</w:t>
            </w:r>
          </w:p>
        </w:tc>
        <w:tc>
          <w:tcPr>
            <w:tcW w:w="495"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3</w:t>
            </w:r>
          </w:p>
        </w:tc>
        <w:tc>
          <w:tcPr>
            <w:tcW w:w="454" w:type="pct"/>
            <w:gridSpan w:val="2"/>
            <w:tcBorders>
              <w:top w:val="nil"/>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16,7%</w:t>
            </w:r>
          </w:p>
        </w:tc>
        <w:tc>
          <w:tcPr>
            <w:tcW w:w="857" w:type="pct"/>
            <w:vMerge/>
            <w:tcBorders>
              <w:top w:val="nil"/>
              <w:left w:val="single" w:sz="4" w:space="0" w:color="auto"/>
              <w:bottom w:val="single" w:sz="4" w:space="0" w:color="000000"/>
              <w:right w:val="single" w:sz="4" w:space="0" w:color="auto"/>
            </w:tcBorders>
            <w:vAlign w:val="center"/>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245"/>
        </w:trPr>
        <w:tc>
          <w:tcPr>
            <w:tcW w:w="1376" w:type="pct"/>
            <w:tcBorders>
              <w:top w:val="nil"/>
              <w:left w:val="single" w:sz="4" w:space="0" w:color="auto"/>
              <w:bottom w:val="single" w:sz="4" w:space="0" w:color="auto"/>
              <w:right w:val="single" w:sz="4" w:space="0" w:color="auto"/>
            </w:tcBorders>
            <w:shd w:val="clear" w:color="000000" w:fill="4BACC6"/>
            <w:noWrap/>
            <w:vAlign w:val="bottom"/>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KA2 UKUPNO:</w:t>
            </w:r>
          </w:p>
        </w:tc>
        <w:tc>
          <w:tcPr>
            <w:tcW w:w="952" w:type="pct"/>
            <w:gridSpan w:val="2"/>
            <w:tcBorders>
              <w:top w:val="single" w:sz="4" w:space="0" w:color="auto"/>
              <w:left w:val="nil"/>
              <w:bottom w:val="single" w:sz="4" w:space="0" w:color="auto"/>
              <w:right w:val="single" w:sz="4" w:space="0" w:color="000000"/>
            </w:tcBorders>
            <w:shd w:val="clear" w:color="000000" w:fill="4BACC6"/>
            <w:noWrap/>
            <w:vAlign w:val="bottom"/>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108</w:t>
            </w:r>
          </w:p>
        </w:tc>
        <w:tc>
          <w:tcPr>
            <w:tcW w:w="698" w:type="pct"/>
            <w:gridSpan w:val="3"/>
            <w:tcBorders>
              <w:top w:val="single" w:sz="4" w:space="0" w:color="auto"/>
              <w:left w:val="nil"/>
              <w:bottom w:val="single" w:sz="4" w:space="0" w:color="auto"/>
              <w:right w:val="single" w:sz="4" w:space="0" w:color="auto"/>
            </w:tcBorders>
            <w:shd w:val="clear" w:color="000000" w:fill="4BACC6"/>
            <w:noWrap/>
            <w:vAlign w:val="bottom"/>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17</w:t>
            </w:r>
          </w:p>
        </w:tc>
        <w:tc>
          <w:tcPr>
            <w:tcW w:w="495" w:type="pct"/>
            <w:gridSpan w:val="2"/>
            <w:tcBorders>
              <w:top w:val="nil"/>
              <w:left w:val="nil"/>
              <w:bottom w:val="single" w:sz="4" w:space="0" w:color="auto"/>
              <w:right w:val="single" w:sz="4" w:space="0" w:color="auto"/>
            </w:tcBorders>
            <w:shd w:val="clear" w:color="000000" w:fill="4BACC6"/>
            <w:noWrap/>
            <w:vAlign w:val="bottom"/>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17</w:t>
            </w:r>
          </w:p>
        </w:tc>
        <w:tc>
          <w:tcPr>
            <w:tcW w:w="454" w:type="pct"/>
            <w:gridSpan w:val="2"/>
            <w:tcBorders>
              <w:top w:val="nil"/>
              <w:left w:val="nil"/>
              <w:bottom w:val="single" w:sz="4" w:space="0" w:color="auto"/>
              <w:right w:val="single" w:sz="4" w:space="0" w:color="auto"/>
            </w:tcBorders>
            <w:shd w:val="clear" w:color="000000" w:fill="4BACC6"/>
            <w:noWrap/>
            <w:vAlign w:val="bottom"/>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15,7%</w:t>
            </w:r>
          </w:p>
        </w:tc>
        <w:tc>
          <w:tcPr>
            <w:tcW w:w="857" w:type="pct"/>
            <w:tcBorders>
              <w:top w:val="nil"/>
              <w:left w:val="nil"/>
              <w:bottom w:val="single" w:sz="4" w:space="0" w:color="auto"/>
              <w:right w:val="single" w:sz="4" w:space="0" w:color="auto"/>
            </w:tcBorders>
            <w:shd w:val="clear" w:color="000000" w:fill="4BACC6"/>
            <w:noWrap/>
            <w:vAlign w:val="bottom"/>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 </w:t>
            </w: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b/>
                <w:bCs/>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b/>
                <w:bCs/>
                <w:color w:val="auto"/>
                <w:sz w:val="22"/>
                <w:szCs w:val="22"/>
                <w:lang w:val="en-GB" w:eastAsia="en-GB"/>
              </w:rPr>
            </w:pPr>
          </w:p>
        </w:tc>
      </w:tr>
      <w:tr w:rsidR="00F430E2" w:rsidRPr="00E85451" w:rsidTr="00F430E2">
        <w:trPr>
          <w:trHeight w:val="245"/>
        </w:trPr>
        <w:tc>
          <w:tcPr>
            <w:tcW w:w="1376" w:type="pct"/>
            <w:tcBorders>
              <w:top w:val="nil"/>
              <w:left w:val="single" w:sz="4" w:space="0" w:color="auto"/>
              <w:bottom w:val="single" w:sz="4" w:space="0" w:color="auto"/>
              <w:right w:val="single" w:sz="4" w:space="0" w:color="auto"/>
            </w:tcBorders>
            <w:shd w:val="clear" w:color="000000" w:fill="BFBFBF"/>
            <w:noWrap/>
            <w:vAlign w:val="bottom"/>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KA 3</w:t>
            </w:r>
          </w:p>
        </w:tc>
        <w:tc>
          <w:tcPr>
            <w:tcW w:w="952" w:type="pct"/>
            <w:gridSpan w:val="2"/>
            <w:tcBorders>
              <w:top w:val="single" w:sz="4" w:space="0" w:color="auto"/>
              <w:left w:val="nil"/>
              <w:bottom w:val="single" w:sz="4" w:space="0" w:color="auto"/>
              <w:right w:val="single" w:sz="4" w:space="0" w:color="000000"/>
            </w:tcBorders>
            <w:shd w:val="clear" w:color="000000" w:fill="BFBFBF"/>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698" w:type="pct"/>
            <w:gridSpan w:val="3"/>
            <w:tcBorders>
              <w:top w:val="single" w:sz="4" w:space="0" w:color="auto"/>
              <w:left w:val="nil"/>
              <w:bottom w:val="single" w:sz="4" w:space="0" w:color="auto"/>
              <w:right w:val="single" w:sz="4" w:space="0" w:color="000000"/>
            </w:tcBorders>
            <w:shd w:val="clear" w:color="000000" w:fill="BFBFBF"/>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495" w:type="pct"/>
            <w:gridSpan w:val="2"/>
            <w:tcBorders>
              <w:top w:val="nil"/>
              <w:left w:val="nil"/>
              <w:bottom w:val="single" w:sz="4" w:space="0" w:color="auto"/>
              <w:right w:val="single" w:sz="4" w:space="0" w:color="auto"/>
            </w:tcBorders>
            <w:shd w:val="clear" w:color="000000" w:fill="BFBFBF"/>
            <w:noWrap/>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454" w:type="pct"/>
            <w:gridSpan w:val="2"/>
            <w:tcBorders>
              <w:top w:val="nil"/>
              <w:left w:val="nil"/>
              <w:bottom w:val="single" w:sz="4" w:space="0" w:color="auto"/>
              <w:right w:val="single" w:sz="4" w:space="0" w:color="auto"/>
            </w:tcBorders>
            <w:shd w:val="clear" w:color="000000" w:fill="BFBFBF"/>
            <w:noWrap/>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857" w:type="pct"/>
            <w:tcBorders>
              <w:top w:val="nil"/>
              <w:left w:val="nil"/>
              <w:bottom w:val="single" w:sz="4" w:space="0" w:color="auto"/>
              <w:right w:val="single" w:sz="4" w:space="0" w:color="auto"/>
            </w:tcBorders>
            <w:shd w:val="clear" w:color="000000" w:fill="BFBFBF"/>
            <w:noWrap/>
            <w:vAlign w:val="bottom"/>
            <w:hideMark/>
          </w:tcPr>
          <w:p w:rsidR="00F430E2" w:rsidRPr="00E85451" w:rsidRDefault="00F430E2" w:rsidP="00F430E2">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307"/>
        </w:trPr>
        <w:tc>
          <w:tcPr>
            <w:tcW w:w="1376" w:type="pct"/>
            <w:tcBorders>
              <w:top w:val="nil"/>
              <w:left w:val="single" w:sz="4" w:space="0" w:color="auto"/>
              <w:bottom w:val="single" w:sz="4" w:space="0" w:color="auto"/>
              <w:right w:val="single" w:sz="4" w:space="0" w:color="auto"/>
            </w:tcBorders>
            <w:shd w:val="clear" w:color="auto" w:fill="auto"/>
            <w:noWrap/>
            <w:vAlign w:val="bottom"/>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Mladi</w:t>
            </w:r>
          </w:p>
        </w:tc>
        <w:tc>
          <w:tcPr>
            <w:tcW w:w="952" w:type="pct"/>
            <w:gridSpan w:val="2"/>
            <w:tcBorders>
              <w:top w:val="single" w:sz="4" w:space="0" w:color="auto"/>
              <w:left w:val="nil"/>
              <w:bottom w:val="single" w:sz="4" w:space="0" w:color="auto"/>
              <w:right w:val="single" w:sz="4" w:space="0" w:color="000000"/>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9</w:t>
            </w:r>
          </w:p>
        </w:tc>
        <w:tc>
          <w:tcPr>
            <w:tcW w:w="698" w:type="pct"/>
            <w:gridSpan w:val="3"/>
            <w:tcBorders>
              <w:top w:val="single" w:sz="4" w:space="0" w:color="auto"/>
              <w:left w:val="nil"/>
              <w:bottom w:val="single" w:sz="4" w:space="0" w:color="auto"/>
              <w:right w:val="single" w:sz="4" w:space="0" w:color="auto"/>
            </w:tcBorders>
            <w:shd w:val="clear" w:color="auto" w:fill="auto"/>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5</w:t>
            </w:r>
          </w:p>
        </w:tc>
        <w:tc>
          <w:tcPr>
            <w:tcW w:w="495" w:type="pct"/>
            <w:gridSpan w:val="2"/>
            <w:tcBorders>
              <w:top w:val="nil"/>
              <w:left w:val="nil"/>
              <w:bottom w:val="single" w:sz="4" w:space="0" w:color="auto"/>
              <w:right w:val="single" w:sz="4" w:space="0" w:color="auto"/>
            </w:tcBorders>
            <w:shd w:val="clear" w:color="000000" w:fill="FFFFFF"/>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5</w:t>
            </w:r>
          </w:p>
        </w:tc>
        <w:tc>
          <w:tcPr>
            <w:tcW w:w="454" w:type="pct"/>
            <w:gridSpan w:val="2"/>
            <w:tcBorders>
              <w:top w:val="nil"/>
              <w:left w:val="nil"/>
              <w:bottom w:val="single" w:sz="4" w:space="0" w:color="auto"/>
              <w:right w:val="single" w:sz="4" w:space="0" w:color="auto"/>
            </w:tcBorders>
            <w:shd w:val="clear" w:color="000000" w:fill="FFFFFF"/>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55,6%</w:t>
            </w:r>
          </w:p>
        </w:tc>
        <w:tc>
          <w:tcPr>
            <w:tcW w:w="857" w:type="pct"/>
            <w:tcBorders>
              <w:top w:val="nil"/>
              <w:left w:val="nil"/>
              <w:bottom w:val="single" w:sz="4" w:space="0" w:color="auto"/>
              <w:right w:val="single" w:sz="4" w:space="0" w:color="auto"/>
            </w:tcBorders>
            <w:shd w:val="clear" w:color="000000" w:fill="FFFFFF"/>
            <w:noWrap/>
            <w:vAlign w:val="bottom"/>
            <w:hideMark/>
          </w:tcPr>
          <w:p w:rsidR="00F430E2" w:rsidRPr="00E85451" w:rsidRDefault="00F430E2" w:rsidP="00F430E2">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w:t>
            </w: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val="en-GB" w:eastAsia="en-GB"/>
              </w:rPr>
            </w:pPr>
          </w:p>
        </w:tc>
      </w:tr>
      <w:tr w:rsidR="00F430E2" w:rsidRPr="00E85451" w:rsidTr="00F430E2">
        <w:trPr>
          <w:trHeight w:val="245"/>
        </w:trPr>
        <w:tc>
          <w:tcPr>
            <w:tcW w:w="1376" w:type="pct"/>
            <w:tcBorders>
              <w:top w:val="nil"/>
              <w:left w:val="single" w:sz="4" w:space="0" w:color="auto"/>
              <w:bottom w:val="single" w:sz="4" w:space="0" w:color="auto"/>
              <w:right w:val="single" w:sz="4" w:space="0" w:color="auto"/>
            </w:tcBorders>
            <w:shd w:val="clear" w:color="000000" w:fill="4BACC6"/>
            <w:noWrap/>
            <w:vAlign w:val="bottom"/>
            <w:hideMark/>
          </w:tcPr>
          <w:p w:rsidR="00F430E2" w:rsidRPr="00E85451" w:rsidRDefault="00F430E2" w:rsidP="00F430E2">
            <w:pPr>
              <w:widowControl/>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KA3 UKUPNO:</w:t>
            </w:r>
          </w:p>
        </w:tc>
        <w:tc>
          <w:tcPr>
            <w:tcW w:w="952" w:type="pct"/>
            <w:gridSpan w:val="2"/>
            <w:tcBorders>
              <w:top w:val="single" w:sz="4" w:space="0" w:color="auto"/>
              <w:left w:val="nil"/>
              <w:bottom w:val="single" w:sz="4" w:space="0" w:color="auto"/>
              <w:right w:val="single" w:sz="4" w:space="0" w:color="000000"/>
            </w:tcBorders>
            <w:shd w:val="clear" w:color="000000" w:fill="4BACC6"/>
            <w:noWrap/>
            <w:vAlign w:val="bottom"/>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9</w:t>
            </w:r>
          </w:p>
        </w:tc>
        <w:tc>
          <w:tcPr>
            <w:tcW w:w="698" w:type="pct"/>
            <w:gridSpan w:val="3"/>
            <w:tcBorders>
              <w:top w:val="single" w:sz="4" w:space="0" w:color="auto"/>
              <w:left w:val="nil"/>
              <w:bottom w:val="single" w:sz="4" w:space="0" w:color="auto"/>
              <w:right w:val="single" w:sz="4" w:space="0" w:color="auto"/>
            </w:tcBorders>
            <w:shd w:val="clear" w:color="000000" w:fill="4BACC6"/>
            <w:noWrap/>
            <w:vAlign w:val="bottom"/>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5</w:t>
            </w:r>
          </w:p>
        </w:tc>
        <w:tc>
          <w:tcPr>
            <w:tcW w:w="495" w:type="pct"/>
            <w:gridSpan w:val="2"/>
            <w:tcBorders>
              <w:top w:val="nil"/>
              <w:left w:val="nil"/>
              <w:bottom w:val="single" w:sz="4" w:space="0" w:color="auto"/>
              <w:right w:val="single" w:sz="4" w:space="0" w:color="auto"/>
            </w:tcBorders>
            <w:shd w:val="clear" w:color="000000" w:fill="4BACC6"/>
            <w:noWrap/>
            <w:vAlign w:val="bottom"/>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5</w:t>
            </w:r>
          </w:p>
        </w:tc>
        <w:tc>
          <w:tcPr>
            <w:tcW w:w="454" w:type="pct"/>
            <w:gridSpan w:val="2"/>
            <w:tcBorders>
              <w:top w:val="nil"/>
              <w:left w:val="nil"/>
              <w:bottom w:val="single" w:sz="4" w:space="0" w:color="auto"/>
              <w:right w:val="single" w:sz="4" w:space="0" w:color="auto"/>
            </w:tcBorders>
            <w:shd w:val="clear" w:color="000000" w:fill="4BACC6"/>
            <w:noWrap/>
            <w:vAlign w:val="bottom"/>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55,6%</w:t>
            </w:r>
          </w:p>
        </w:tc>
        <w:tc>
          <w:tcPr>
            <w:tcW w:w="857" w:type="pct"/>
            <w:tcBorders>
              <w:top w:val="nil"/>
              <w:left w:val="nil"/>
              <w:bottom w:val="single" w:sz="4" w:space="0" w:color="auto"/>
              <w:right w:val="single" w:sz="4" w:space="0" w:color="auto"/>
            </w:tcBorders>
            <w:shd w:val="clear" w:color="000000" w:fill="4BACC6"/>
            <w:noWrap/>
            <w:vAlign w:val="bottom"/>
            <w:hideMark/>
          </w:tcPr>
          <w:p w:rsidR="00F430E2" w:rsidRPr="00E85451" w:rsidRDefault="00F430E2" w:rsidP="00F430E2">
            <w:pPr>
              <w:widowControl/>
              <w:jc w:val="center"/>
              <w:rPr>
                <w:rFonts w:ascii="Arial" w:hAnsi="Arial" w:cs="Arial"/>
                <w:b/>
                <w:bCs/>
                <w:color w:val="auto"/>
                <w:sz w:val="22"/>
                <w:szCs w:val="22"/>
                <w:lang w:val="en-GB" w:eastAsia="en-GB"/>
              </w:rPr>
            </w:pPr>
            <w:r w:rsidRPr="00E85451">
              <w:rPr>
                <w:rFonts w:ascii="Arial" w:hAnsi="Arial" w:cs="Arial"/>
                <w:b/>
                <w:bCs/>
                <w:color w:val="auto"/>
                <w:sz w:val="22"/>
                <w:szCs w:val="22"/>
                <w:lang w:val="en-GB" w:eastAsia="en-GB"/>
              </w:rPr>
              <w:t> </w:t>
            </w: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b/>
                <w:bCs/>
                <w:color w:val="auto"/>
                <w:sz w:val="22"/>
                <w:szCs w:val="22"/>
                <w:lang w:val="en-GB"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b/>
                <w:bCs/>
                <w:color w:val="auto"/>
                <w:sz w:val="22"/>
                <w:szCs w:val="22"/>
                <w:lang w:val="en-GB" w:eastAsia="en-GB"/>
              </w:rPr>
            </w:pPr>
          </w:p>
        </w:tc>
      </w:tr>
      <w:tr w:rsidR="00F430E2" w:rsidRPr="00E85451" w:rsidTr="00F430E2">
        <w:trPr>
          <w:trHeight w:val="245"/>
        </w:trPr>
        <w:tc>
          <w:tcPr>
            <w:tcW w:w="4832" w:type="pct"/>
            <w:gridSpan w:val="11"/>
            <w:vMerge w:val="restart"/>
            <w:tcBorders>
              <w:top w:val="single" w:sz="4" w:space="0" w:color="auto"/>
              <w:left w:val="nil"/>
              <w:bottom w:val="nil"/>
              <w:right w:val="nil"/>
            </w:tcBorders>
            <w:shd w:val="clear" w:color="auto" w:fill="auto"/>
            <w:hideMark/>
          </w:tcPr>
          <w:p w:rsidR="00F430E2" w:rsidRPr="00E85451" w:rsidRDefault="00F430E2" w:rsidP="00F430E2">
            <w:pPr>
              <w:widowControl/>
              <w:jc w:val="both"/>
              <w:rPr>
                <w:rFonts w:ascii="Arial" w:hAnsi="Arial" w:cs="Arial"/>
                <w:i/>
                <w:color w:val="auto"/>
                <w:sz w:val="22"/>
                <w:szCs w:val="22"/>
                <w:vertAlign w:val="superscript"/>
                <w:lang w:eastAsia="en-GB"/>
              </w:rPr>
            </w:pPr>
            <w:r w:rsidRPr="00E85451">
              <w:rPr>
                <w:rFonts w:ascii="Arial" w:hAnsi="Arial" w:cs="Arial"/>
                <w:i/>
                <w:color w:val="auto"/>
                <w:sz w:val="22"/>
                <w:szCs w:val="22"/>
                <w:vertAlign w:val="superscript"/>
                <w:lang w:eastAsia="en-GB"/>
              </w:rPr>
              <w:t xml:space="preserve">*Prikazan je broj zaprimljenih, odobrenih i ugovorenih prijava zaprimljenih u AMPEU. Iz budžeta za Opće obrazovanje financira se i 33 partnerske organizacije iz HR koja sudjeluju u strateškim partnerstvima prijavljenim drugim Nacionalnim agencijama. **Prikazani broj je procjena sudionika svih projektnih aktivnosti i ne  odražava broj pojedinačnih sudionika iz HR. Točan broj pojedinačnih sudionika bit će poznat u fazi završnog izvještavanja. </w:t>
            </w: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r>
      <w:tr w:rsidR="00F430E2" w:rsidRPr="00E85451" w:rsidTr="00F430E2">
        <w:trPr>
          <w:trHeight w:val="245"/>
        </w:trPr>
        <w:tc>
          <w:tcPr>
            <w:tcW w:w="4832" w:type="pct"/>
            <w:gridSpan w:val="11"/>
            <w:vMerge/>
            <w:tcBorders>
              <w:top w:val="single" w:sz="4" w:space="0" w:color="auto"/>
              <w:left w:val="nil"/>
              <w:bottom w:val="nil"/>
              <w:right w:val="nil"/>
            </w:tcBorders>
            <w:vAlign w:val="center"/>
            <w:hideMark/>
          </w:tcPr>
          <w:p w:rsidR="00F430E2" w:rsidRPr="00E85451" w:rsidRDefault="00F430E2" w:rsidP="00F430E2">
            <w:pPr>
              <w:widowControl/>
              <w:rPr>
                <w:rFonts w:ascii="Arial" w:hAnsi="Arial" w:cs="Arial"/>
                <w:color w:val="auto"/>
                <w:sz w:val="22"/>
                <w:szCs w:val="22"/>
                <w:lang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r>
      <w:tr w:rsidR="00F430E2" w:rsidRPr="00E85451" w:rsidTr="00F430E2">
        <w:trPr>
          <w:trHeight w:val="245"/>
        </w:trPr>
        <w:tc>
          <w:tcPr>
            <w:tcW w:w="4832" w:type="pct"/>
            <w:gridSpan w:val="11"/>
            <w:vMerge/>
            <w:tcBorders>
              <w:top w:val="single" w:sz="4" w:space="0" w:color="auto"/>
              <w:left w:val="nil"/>
              <w:bottom w:val="nil"/>
              <w:right w:val="nil"/>
            </w:tcBorders>
            <w:vAlign w:val="center"/>
            <w:hideMark/>
          </w:tcPr>
          <w:p w:rsidR="00F430E2" w:rsidRPr="00E85451" w:rsidRDefault="00F430E2" w:rsidP="00F430E2">
            <w:pPr>
              <w:widowControl/>
              <w:rPr>
                <w:rFonts w:ascii="Arial" w:hAnsi="Arial" w:cs="Arial"/>
                <w:color w:val="auto"/>
                <w:sz w:val="22"/>
                <w:szCs w:val="22"/>
                <w:lang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r>
      <w:tr w:rsidR="00F430E2" w:rsidRPr="00E85451" w:rsidTr="00F430E2">
        <w:trPr>
          <w:trHeight w:val="245"/>
        </w:trPr>
        <w:tc>
          <w:tcPr>
            <w:tcW w:w="4832" w:type="pct"/>
            <w:gridSpan w:val="11"/>
            <w:vMerge/>
            <w:tcBorders>
              <w:top w:val="single" w:sz="4" w:space="0" w:color="auto"/>
              <w:left w:val="nil"/>
              <w:bottom w:val="nil"/>
              <w:right w:val="nil"/>
            </w:tcBorders>
            <w:vAlign w:val="center"/>
            <w:hideMark/>
          </w:tcPr>
          <w:p w:rsidR="00F430E2" w:rsidRPr="00E85451" w:rsidRDefault="00F430E2" w:rsidP="00F430E2">
            <w:pPr>
              <w:widowControl/>
              <w:rPr>
                <w:rFonts w:ascii="Arial" w:hAnsi="Arial" w:cs="Arial"/>
                <w:color w:val="auto"/>
                <w:sz w:val="22"/>
                <w:szCs w:val="22"/>
                <w:lang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c>
          <w:tcPr>
            <w:tcW w:w="84" w:type="pct"/>
            <w:tcBorders>
              <w:top w:val="nil"/>
              <w:left w:val="nil"/>
              <w:bottom w:val="nil"/>
              <w:right w:val="nil"/>
            </w:tcBorders>
            <w:shd w:val="clear" w:color="auto" w:fill="auto"/>
            <w:noWrap/>
            <w:vAlign w:val="bottom"/>
            <w:hideMark/>
          </w:tcPr>
          <w:p w:rsidR="00F430E2" w:rsidRPr="00E85451" w:rsidRDefault="00F430E2" w:rsidP="00F430E2">
            <w:pPr>
              <w:widowControl/>
              <w:rPr>
                <w:rFonts w:ascii="Arial" w:hAnsi="Arial" w:cs="Arial"/>
                <w:color w:val="auto"/>
                <w:sz w:val="22"/>
                <w:szCs w:val="22"/>
                <w:lang w:eastAsia="en-GB"/>
              </w:rPr>
            </w:pPr>
          </w:p>
        </w:tc>
      </w:tr>
    </w:tbl>
    <w:p w:rsidR="00F430E2" w:rsidRPr="00E85451" w:rsidRDefault="00F430E2" w:rsidP="00F430E2">
      <w:pPr>
        <w:ind w:left="720" w:right="-154"/>
        <w:rPr>
          <w:rFonts w:ascii="Arial" w:hAnsi="Arial" w:cs="Arial"/>
          <w:color w:val="auto"/>
          <w:sz w:val="22"/>
          <w:szCs w:val="22"/>
        </w:rPr>
        <w:sectPr w:rsidR="00F430E2" w:rsidRPr="00E85451" w:rsidSect="00127A98">
          <w:pgSz w:w="16840" w:h="11900" w:orient="landscape" w:code="9"/>
          <w:pgMar w:top="1270" w:right="1440" w:bottom="1712" w:left="1440" w:header="425" w:footer="374" w:gutter="0"/>
          <w:cols w:space="720"/>
          <w:docGrid w:linePitch="326"/>
        </w:sectPr>
      </w:pPr>
    </w:p>
    <w:p w:rsidR="00F430E2" w:rsidRPr="00E85451" w:rsidRDefault="00F430E2" w:rsidP="00B97010">
      <w:pPr>
        <w:rPr>
          <w:rFonts w:ascii="Arial" w:hAnsi="Arial" w:cs="Arial"/>
          <w:color w:val="auto"/>
          <w:sz w:val="22"/>
          <w:szCs w:val="22"/>
        </w:rPr>
      </w:pPr>
    </w:p>
    <w:p w:rsidR="00C50A3F" w:rsidRPr="00E85451" w:rsidRDefault="00C50A3F" w:rsidP="00C50A3F">
      <w:pPr>
        <w:ind w:right="-8"/>
        <w:jc w:val="both"/>
        <w:rPr>
          <w:rFonts w:ascii="Arial" w:hAnsi="Arial" w:cs="Arial"/>
          <w:color w:val="auto"/>
          <w:sz w:val="22"/>
          <w:szCs w:val="22"/>
        </w:rPr>
      </w:pPr>
      <w:r w:rsidRPr="00E85451">
        <w:rPr>
          <w:rFonts w:ascii="Arial" w:hAnsi="Arial" w:cs="Arial"/>
          <w:color w:val="auto"/>
          <w:sz w:val="22"/>
          <w:szCs w:val="22"/>
        </w:rPr>
        <w:t>Usporedba programa Mladi na djelu i Programa za cjeloživotno učenje 2009.-2013.</w:t>
      </w:r>
    </w:p>
    <w:p w:rsidR="00C50A3F" w:rsidRPr="00E85451" w:rsidRDefault="00C50A3F" w:rsidP="00C50A3F">
      <w:pPr>
        <w:ind w:right="-8"/>
        <w:jc w:val="both"/>
        <w:rPr>
          <w:rFonts w:ascii="Arial" w:hAnsi="Arial" w:cs="Arial"/>
          <w:color w:val="auto"/>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893"/>
        <w:gridCol w:w="2315"/>
        <w:gridCol w:w="2835"/>
      </w:tblGrid>
      <w:tr w:rsidR="00E85451" w:rsidRPr="00E85451" w:rsidTr="008768F1">
        <w:trPr>
          <w:trHeight w:val="735"/>
        </w:trPr>
        <w:tc>
          <w:tcPr>
            <w:tcW w:w="0" w:type="auto"/>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p>
        </w:tc>
        <w:tc>
          <w:tcPr>
            <w:tcW w:w="231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YiA</w:t>
            </w:r>
          </w:p>
        </w:tc>
        <w:tc>
          <w:tcPr>
            <w:tcW w:w="2835"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LLP</w:t>
            </w:r>
          </w:p>
        </w:tc>
      </w:tr>
      <w:tr w:rsidR="00E85451" w:rsidRPr="00E85451" w:rsidTr="008768F1">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Broj zaprimljenih prijava</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1019</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3925</w:t>
            </w:r>
          </w:p>
        </w:tc>
      </w:tr>
      <w:tr w:rsidR="00E85451" w:rsidRPr="00E85451" w:rsidTr="008768F1">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Broj ugovorenih projekata</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403</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1648</w:t>
            </w:r>
          </w:p>
        </w:tc>
      </w:tr>
      <w:tr w:rsidR="00E85451" w:rsidRPr="00E85451" w:rsidTr="008768F1">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Dostupan budžet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5,59 milijuna EUR</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23,67 milijuna EUR</w:t>
            </w:r>
          </w:p>
        </w:tc>
      </w:tr>
      <w:tr w:rsidR="00E85451" w:rsidRPr="00E85451" w:rsidTr="008768F1">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Iznos ugovorenih sredstava</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5,06 milijuna EUR</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23,57 milijuna EUR</w:t>
            </w:r>
          </w:p>
        </w:tc>
      </w:tr>
      <w:tr w:rsidR="00E85451" w:rsidRPr="00E85451" w:rsidTr="008768F1">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Postotak ugovorenosti*</w:t>
            </w:r>
          </w:p>
          <w:p w:rsidR="0012463B" w:rsidRPr="00E85451" w:rsidRDefault="0012463B" w:rsidP="00C50A3F">
            <w:pPr>
              <w:ind w:right="-8"/>
              <w:jc w:val="both"/>
              <w:rPr>
                <w:rFonts w:ascii="Arial" w:hAnsi="Arial" w:cs="Arial"/>
                <w:color w:val="auto"/>
                <w:sz w:val="22"/>
                <w:szCs w:val="22"/>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91%</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99%</w:t>
            </w:r>
          </w:p>
        </w:tc>
      </w:tr>
      <w:tr w:rsidR="00E85451" w:rsidRPr="00E85451" w:rsidTr="008768F1">
        <w:trPr>
          <w:trHeight w:val="300"/>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Procjena broja sudionika**</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9.387</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5" w:type="dxa"/>
              <w:bottom w:w="0" w:type="dxa"/>
              <w:right w:w="105" w:type="dxa"/>
            </w:tcMar>
            <w:hideMark/>
          </w:tcPr>
          <w:p w:rsidR="0012463B" w:rsidRPr="00E85451" w:rsidRDefault="0012463B" w:rsidP="00C50A3F">
            <w:pPr>
              <w:ind w:right="-8"/>
              <w:jc w:val="both"/>
              <w:rPr>
                <w:rFonts w:ascii="Arial" w:hAnsi="Arial" w:cs="Arial"/>
                <w:color w:val="auto"/>
                <w:sz w:val="22"/>
                <w:szCs w:val="22"/>
              </w:rPr>
            </w:pPr>
            <w:r w:rsidRPr="00E85451">
              <w:rPr>
                <w:rFonts w:ascii="Arial" w:hAnsi="Arial" w:cs="Arial"/>
                <w:color w:val="auto"/>
                <w:sz w:val="22"/>
                <w:szCs w:val="22"/>
              </w:rPr>
              <w:t>13.884</w:t>
            </w:r>
          </w:p>
        </w:tc>
      </w:tr>
    </w:tbl>
    <w:p w:rsidR="000F3799" w:rsidRPr="00E85451" w:rsidRDefault="00904207" w:rsidP="00C50A3F">
      <w:pPr>
        <w:ind w:right="-8"/>
        <w:jc w:val="both"/>
        <w:rPr>
          <w:rFonts w:ascii="Arial" w:hAnsi="Arial" w:cs="Arial"/>
          <w:color w:val="auto"/>
          <w:sz w:val="22"/>
          <w:szCs w:val="22"/>
        </w:rPr>
      </w:pPr>
      <w:r w:rsidRPr="00E85451">
        <w:rPr>
          <w:rFonts w:ascii="Arial" w:hAnsi="Arial" w:cs="Arial"/>
          <w:color w:val="auto"/>
          <w:sz w:val="22"/>
          <w:szCs w:val="22"/>
        </w:rPr>
        <w:t xml:space="preserve">** </w:t>
      </w:r>
      <w:r w:rsidR="00C50A3F" w:rsidRPr="00E85451">
        <w:rPr>
          <w:rFonts w:ascii="Arial" w:hAnsi="Arial" w:cs="Arial"/>
          <w:color w:val="auto"/>
          <w:sz w:val="22"/>
          <w:szCs w:val="22"/>
        </w:rPr>
        <w:t>Konačan broj sudionika bit će dostupan nakon završetka svih otvorenih projekata o</w:t>
      </w:r>
      <w:r w:rsidRPr="00E85451">
        <w:rPr>
          <w:rFonts w:ascii="Arial" w:hAnsi="Arial" w:cs="Arial"/>
          <w:color w:val="auto"/>
          <w:sz w:val="22"/>
          <w:szCs w:val="22"/>
        </w:rPr>
        <w:t xml:space="preserve">dnosno tijekom 2016. godine. </w:t>
      </w:r>
    </w:p>
    <w:p w:rsidR="00C50A3F" w:rsidRPr="00E85451" w:rsidRDefault="00C50A3F">
      <w:pPr>
        <w:tabs>
          <w:tab w:val="left" w:pos="7280"/>
        </w:tabs>
        <w:ind w:right="-540"/>
        <w:rPr>
          <w:rFonts w:ascii="Arial" w:eastAsia="Arial" w:hAnsi="Arial" w:cs="Arial"/>
          <w:color w:val="auto"/>
          <w:sz w:val="22"/>
          <w:szCs w:val="22"/>
        </w:rPr>
      </w:pPr>
    </w:p>
    <w:p w:rsidR="00127A98" w:rsidRPr="00E85451" w:rsidRDefault="00127A98">
      <w:pPr>
        <w:tabs>
          <w:tab w:val="left" w:pos="7280"/>
        </w:tabs>
        <w:ind w:right="-540"/>
        <w:rPr>
          <w:rFonts w:ascii="Arial" w:eastAsia="Arial" w:hAnsi="Arial" w:cs="Arial"/>
          <w:color w:val="auto"/>
          <w:sz w:val="22"/>
          <w:szCs w:val="22"/>
          <w:u w:val="single"/>
        </w:rPr>
        <w:sectPr w:rsidR="00127A98" w:rsidRPr="00E85451" w:rsidSect="00601741">
          <w:headerReference w:type="default" r:id="rId18"/>
          <w:footerReference w:type="default" r:id="rId19"/>
          <w:pgSz w:w="11900" w:h="16840"/>
          <w:pgMar w:top="1440" w:right="1712" w:bottom="1440" w:left="1134" w:header="426" w:footer="377" w:gutter="0"/>
          <w:cols w:space="720"/>
          <w:docGrid w:linePitch="326"/>
        </w:sectPr>
      </w:pPr>
    </w:p>
    <w:p w:rsidR="00904207" w:rsidRPr="00E85451" w:rsidRDefault="00904207">
      <w:pPr>
        <w:tabs>
          <w:tab w:val="left" w:pos="7280"/>
        </w:tabs>
        <w:ind w:right="-540"/>
        <w:rPr>
          <w:rFonts w:ascii="Arial" w:eastAsia="Arial" w:hAnsi="Arial" w:cs="Arial"/>
          <w:color w:val="auto"/>
          <w:sz w:val="22"/>
          <w:szCs w:val="22"/>
          <w:u w:val="single"/>
        </w:rPr>
      </w:pPr>
    </w:p>
    <w:p w:rsidR="00C50A3F" w:rsidRPr="00E85451" w:rsidRDefault="00C50A3F" w:rsidP="00C50A3F">
      <w:pPr>
        <w:tabs>
          <w:tab w:val="left" w:pos="7280"/>
        </w:tabs>
        <w:ind w:right="-540"/>
        <w:rPr>
          <w:rFonts w:ascii="Arial" w:eastAsia="Arial" w:hAnsi="Arial" w:cs="Arial"/>
          <w:color w:val="auto"/>
          <w:sz w:val="22"/>
          <w:szCs w:val="22"/>
          <w:u w:val="single"/>
        </w:rPr>
      </w:pPr>
      <w:r w:rsidRPr="00E85451">
        <w:rPr>
          <w:rFonts w:ascii="Arial" w:eastAsia="Arial" w:hAnsi="Arial" w:cs="Arial"/>
          <w:color w:val="auto"/>
          <w:sz w:val="22"/>
          <w:szCs w:val="22"/>
          <w:u w:val="single"/>
        </w:rPr>
        <w:t>2013.</w:t>
      </w:r>
    </w:p>
    <w:p w:rsidR="00C50A3F" w:rsidRPr="00E85451" w:rsidRDefault="00C50A3F" w:rsidP="00C50A3F">
      <w:pPr>
        <w:tabs>
          <w:tab w:val="left" w:pos="7280"/>
        </w:tabs>
        <w:ind w:right="-540"/>
        <w:rPr>
          <w:rFonts w:ascii="Arial" w:eastAsia="Arial" w:hAnsi="Arial" w:cs="Arial"/>
          <w:color w:val="auto"/>
          <w:sz w:val="22"/>
          <w:szCs w:val="22"/>
          <w:u w:val="single"/>
        </w:rPr>
      </w:pPr>
    </w:p>
    <w:tbl>
      <w:tblPr>
        <w:tblW w:w="11374" w:type="dxa"/>
        <w:tblInd w:w="93" w:type="dxa"/>
        <w:tblLook w:val="04A0" w:firstRow="1" w:lastRow="0" w:firstColumn="1" w:lastColumn="0" w:noHBand="0" w:noVBand="1"/>
      </w:tblPr>
      <w:tblGrid>
        <w:gridCol w:w="1451"/>
        <w:gridCol w:w="1116"/>
        <w:gridCol w:w="298"/>
        <w:gridCol w:w="1413"/>
        <w:gridCol w:w="1898"/>
        <w:gridCol w:w="1550"/>
        <w:gridCol w:w="1501"/>
        <w:gridCol w:w="1464"/>
        <w:gridCol w:w="1412"/>
      </w:tblGrid>
      <w:tr w:rsidR="00E85451" w:rsidRPr="00E85451" w:rsidTr="00127A98">
        <w:trPr>
          <w:trHeight w:val="300"/>
        </w:trPr>
        <w:tc>
          <w:tcPr>
            <w:tcW w:w="11374" w:type="dxa"/>
            <w:gridSpan w:val="9"/>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127A98" w:rsidRPr="00E85451" w:rsidRDefault="008C2AC4" w:rsidP="00127A98">
            <w:pPr>
              <w:widowControl/>
              <w:jc w:val="center"/>
              <w:rPr>
                <w:rFonts w:ascii="Arial" w:hAnsi="Arial" w:cs="Arial"/>
                <w:color w:val="auto"/>
                <w:sz w:val="22"/>
                <w:szCs w:val="22"/>
                <w:lang w:eastAsia="en-GB"/>
              </w:rPr>
            </w:pPr>
            <w:r w:rsidRPr="00E85451">
              <w:rPr>
                <w:rFonts w:ascii="Arial" w:hAnsi="Arial" w:cs="Arial"/>
                <w:color w:val="auto"/>
                <w:sz w:val="22"/>
                <w:szCs w:val="22"/>
                <w:lang w:eastAsia="en-GB"/>
              </w:rPr>
              <w:t>Program za cjeloživotno učenje (Natječajna godina 2013.)</w:t>
            </w:r>
          </w:p>
        </w:tc>
      </w:tr>
      <w:tr w:rsidR="00E85451" w:rsidRPr="00E85451" w:rsidTr="00127A98">
        <w:trPr>
          <w:trHeight w:val="253"/>
        </w:trPr>
        <w:tc>
          <w:tcPr>
            <w:tcW w:w="1451" w:type="dxa"/>
            <w:vMerge w:val="restart"/>
            <w:tcBorders>
              <w:top w:val="nil"/>
              <w:left w:val="single" w:sz="4" w:space="0" w:color="000000"/>
              <w:bottom w:val="single" w:sz="4" w:space="0" w:color="000000"/>
              <w:right w:val="single" w:sz="4" w:space="0" w:color="000000"/>
            </w:tcBorders>
            <w:shd w:val="clear" w:color="000000" w:fill="4BACC6"/>
            <w:vAlign w:val="center"/>
            <w:hideMark/>
          </w:tcPr>
          <w:p w:rsidR="00127A98" w:rsidRPr="00E85451" w:rsidRDefault="00127A98" w:rsidP="00127A98">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Sektorski programi </w:t>
            </w:r>
          </w:p>
        </w:tc>
        <w:tc>
          <w:tcPr>
            <w:tcW w:w="1414" w:type="dxa"/>
            <w:gridSpan w:val="2"/>
            <w:vMerge w:val="restart"/>
            <w:tcBorders>
              <w:top w:val="nil"/>
              <w:left w:val="single" w:sz="4" w:space="0" w:color="000000"/>
              <w:bottom w:val="single" w:sz="4" w:space="0" w:color="000000"/>
              <w:right w:val="single" w:sz="4" w:space="0" w:color="000000"/>
            </w:tcBorders>
            <w:shd w:val="clear" w:color="000000" w:fill="4BACC6"/>
            <w:vAlign w:val="center"/>
            <w:hideMark/>
          </w:tcPr>
          <w:p w:rsidR="00127A98" w:rsidRPr="00E85451" w:rsidRDefault="00127A98" w:rsidP="00127A98">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Broj zaprimljenih prijava</w:t>
            </w:r>
          </w:p>
        </w:tc>
        <w:tc>
          <w:tcPr>
            <w:tcW w:w="1413" w:type="dxa"/>
            <w:vMerge w:val="restart"/>
            <w:tcBorders>
              <w:top w:val="nil"/>
              <w:left w:val="single" w:sz="4" w:space="0" w:color="000000"/>
              <w:bottom w:val="single" w:sz="4" w:space="0" w:color="000000"/>
              <w:right w:val="single" w:sz="4" w:space="0" w:color="000000"/>
            </w:tcBorders>
            <w:shd w:val="clear" w:color="000000" w:fill="4BACC6"/>
            <w:vAlign w:val="center"/>
            <w:hideMark/>
          </w:tcPr>
          <w:p w:rsidR="00127A98" w:rsidRPr="00E85451" w:rsidRDefault="00127A98" w:rsidP="00127A98">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Broj potpisanih ugovora </w:t>
            </w:r>
          </w:p>
        </w:tc>
        <w:tc>
          <w:tcPr>
            <w:tcW w:w="1433" w:type="dxa"/>
            <w:vMerge w:val="restart"/>
            <w:tcBorders>
              <w:top w:val="nil"/>
              <w:left w:val="single" w:sz="4" w:space="0" w:color="000000"/>
              <w:bottom w:val="single" w:sz="4" w:space="0" w:color="000000"/>
              <w:right w:val="single" w:sz="4" w:space="0" w:color="000000"/>
            </w:tcBorders>
            <w:shd w:val="clear" w:color="000000" w:fill="4BACC6"/>
            <w:vAlign w:val="center"/>
            <w:hideMark/>
          </w:tcPr>
          <w:p w:rsidR="00127A98" w:rsidRPr="00E85451" w:rsidRDefault="00127A98" w:rsidP="00127A98">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Raspoloživi budžet (Ugovor EK-NA+Amandmani) </w:t>
            </w:r>
          </w:p>
        </w:tc>
        <w:tc>
          <w:tcPr>
            <w:tcW w:w="1419" w:type="dxa"/>
            <w:vMerge w:val="restart"/>
            <w:tcBorders>
              <w:top w:val="nil"/>
              <w:left w:val="single" w:sz="4" w:space="0" w:color="000000"/>
              <w:bottom w:val="single" w:sz="4" w:space="0" w:color="000000"/>
              <w:right w:val="single" w:sz="4" w:space="0" w:color="000000"/>
            </w:tcBorders>
            <w:shd w:val="clear" w:color="000000" w:fill="4BACC6"/>
            <w:vAlign w:val="center"/>
            <w:hideMark/>
          </w:tcPr>
          <w:p w:rsidR="00127A98" w:rsidRPr="00E85451" w:rsidRDefault="00127A98" w:rsidP="00127A98">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Budžet nakon interne preraspodjele </w:t>
            </w:r>
          </w:p>
        </w:tc>
        <w:tc>
          <w:tcPr>
            <w:tcW w:w="1418" w:type="dxa"/>
            <w:vMerge w:val="restart"/>
            <w:tcBorders>
              <w:top w:val="nil"/>
              <w:left w:val="single" w:sz="4" w:space="0" w:color="000000"/>
              <w:bottom w:val="single" w:sz="4" w:space="0" w:color="000000"/>
              <w:right w:val="single" w:sz="4" w:space="0" w:color="000000"/>
            </w:tcBorders>
            <w:shd w:val="clear" w:color="000000" w:fill="4BACC6"/>
            <w:vAlign w:val="center"/>
            <w:hideMark/>
          </w:tcPr>
          <w:p w:rsidR="00127A98" w:rsidRPr="00E85451" w:rsidRDefault="00127A98" w:rsidP="00127A98">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Ugovoreno </w:t>
            </w:r>
          </w:p>
        </w:tc>
        <w:tc>
          <w:tcPr>
            <w:tcW w:w="1414" w:type="dxa"/>
            <w:vMerge w:val="restart"/>
            <w:tcBorders>
              <w:top w:val="nil"/>
              <w:left w:val="single" w:sz="4" w:space="0" w:color="000000"/>
              <w:bottom w:val="single" w:sz="4" w:space="0" w:color="000000"/>
              <w:right w:val="single" w:sz="4" w:space="0" w:color="000000"/>
            </w:tcBorders>
            <w:shd w:val="clear" w:color="000000" w:fill="4BACC6"/>
            <w:vAlign w:val="center"/>
            <w:hideMark/>
          </w:tcPr>
          <w:p w:rsidR="00127A98" w:rsidRPr="00E85451" w:rsidRDefault="00127A98" w:rsidP="00127A98">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Ugovorenost (%)</w:t>
            </w:r>
          </w:p>
        </w:tc>
        <w:tc>
          <w:tcPr>
            <w:tcW w:w="1412" w:type="dxa"/>
            <w:vMerge w:val="restart"/>
            <w:tcBorders>
              <w:top w:val="nil"/>
              <w:left w:val="single" w:sz="4" w:space="0" w:color="000000"/>
              <w:bottom w:val="single" w:sz="4" w:space="0" w:color="000000"/>
              <w:right w:val="single" w:sz="4" w:space="0" w:color="000000"/>
            </w:tcBorders>
            <w:shd w:val="clear" w:color="000000" w:fill="4BACC6"/>
            <w:vAlign w:val="center"/>
            <w:hideMark/>
          </w:tcPr>
          <w:p w:rsidR="00127A98" w:rsidRPr="00E85451" w:rsidRDefault="00127A98" w:rsidP="00127A98">
            <w:pPr>
              <w:widowControl/>
              <w:jc w:val="center"/>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Procjena broja sudionika </w:t>
            </w:r>
          </w:p>
        </w:tc>
      </w:tr>
      <w:tr w:rsidR="00E85451" w:rsidRPr="00E85451" w:rsidTr="00127A98">
        <w:trPr>
          <w:trHeight w:val="253"/>
        </w:trPr>
        <w:tc>
          <w:tcPr>
            <w:tcW w:w="1451" w:type="dxa"/>
            <w:vMerge/>
            <w:tcBorders>
              <w:top w:val="nil"/>
              <w:left w:val="single" w:sz="4" w:space="0" w:color="000000"/>
              <w:bottom w:val="single" w:sz="4" w:space="0" w:color="000000"/>
              <w:right w:val="single" w:sz="4" w:space="0" w:color="000000"/>
            </w:tcBorders>
            <w:vAlign w:val="center"/>
            <w:hideMark/>
          </w:tcPr>
          <w:p w:rsidR="00127A98" w:rsidRPr="00E85451" w:rsidRDefault="00127A98" w:rsidP="00127A98">
            <w:pPr>
              <w:widowControl/>
              <w:rPr>
                <w:rFonts w:ascii="Arial" w:hAnsi="Arial" w:cs="Arial"/>
                <w:color w:val="auto"/>
                <w:sz w:val="22"/>
                <w:szCs w:val="22"/>
                <w:lang w:val="en-GB" w:eastAsia="en-GB"/>
              </w:rPr>
            </w:pPr>
          </w:p>
        </w:tc>
        <w:tc>
          <w:tcPr>
            <w:tcW w:w="1414" w:type="dxa"/>
            <w:gridSpan w:val="2"/>
            <w:vMerge/>
            <w:tcBorders>
              <w:top w:val="nil"/>
              <w:left w:val="single" w:sz="4" w:space="0" w:color="000000"/>
              <w:bottom w:val="single" w:sz="4" w:space="0" w:color="000000"/>
              <w:right w:val="single" w:sz="4" w:space="0" w:color="000000"/>
            </w:tcBorders>
            <w:vAlign w:val="center"/>
            <w:hideMark/>
          </w:tcPr>
          <w:p w:rsidR="00127A98" w:rsidRPr="00E85451" w:rsidRDefault="00127A98" w:rsidP="00127A98">
            <w:pPr>
              <w:widowControl/>
              <w:rPr>
                <w:rFonts w:ascii="Arial" w:hAnsi="Arial" w:cs="Arial"/>
                <w:color w:val="auto"/>
                <w:sz w:val="22"/>
                <w:szCs w:val="22"/>
                <w:lang w:val="en-GB" w:eastAsia="en-GB"/>
              </w:rPr>
            </w:pPr>
          </w:p>
        </w:tc>
        <w:tc>
          <w:tcPr>
            <w:tcW w:w="1413" w:type="dxa"/>
            <w:vMerge/>
            <w:tcBorders>
              <w:top w:val="nil"/>
              <w:left w:val="single" w:sz="4" w:space="0" w:color="000000"/>
              <w:bottom w:val="single" w:sz="4" w:space="0" w:color="000000"/>
              <w:right w:val="single" w:sz="4" w:space="0" w:color="000000"/>
            </w:tcBorders>
            <w:vAlign w:val="center"/>
            <w:hideMark/>
          </w:tcPr>
          <w:p w:rsidR="00127A98" w:rsidRPr="00E85451" w:rsidRDefault="00127A98" w:rsidP="00127A98">
            <w:pPr>
              <w:widowControl/>
              <w:rPr>
                <w:rFonts w:ascii="Arial" w:hAnsi="Arial" w:cs="Arial"/>
                <w:color w:val="auto"/>
                <w:sz w:val="22"/>
                <w:szCs w:val="22"/>
                <w:lang w:val="en-GB" w:eastAsia="en-GB"/>
              </w:rPr>
            </w:pPr>
          </w:p>
        </w:tc>
        <w:tc>
          <w:tcPr>
            <w:tcW w:w="1433" w:type="dxa"/>
            <w:vMerge/>
            <w:tcBorders>
              <w:top w:val="nil"/>
              <w:left w:val="single" w:sz="4" w:space="0" w:color="000000"/>
              <w:bottom w:val="single" w:sz="4" w:space="0" w:color="000000"/>
              <w:right w:val="single" w:sz="4" w:space="0" w:color="000000"/>
            </w:tcBorders>
            <w:vAlign w:val="center"/>
            <w:hideMark/>
          </w:tcPr>
          <w:p w:rsidR="00127A98" w:rsidRPr="00E85451" w:rsidRDefault="00127A98" w:rsidP="00127A98">
            <w:pPr>
              <w:widowControl/>
              <w:rPr>
                <w:rFonts w:ascii="Arial" w:hAnsi="Arial" w:cs="Arial"/>
                <w:color w:val="auto"/>
                <w:sz w:val="22"/>
                <w:szCs w:val="22"/>
                <w:lang w:val="en-GB" w:eastAsia="en-GB"/>
              </w:rPr>
            </w:pPr>
          </w:p>
        </w:tc>
        <w:tc>
          <w:tcPr>
            <w:tcW w:w="1419" w:type="dxa"/>
            <w:vMerge/>
            <w:tcBorders>
              <w:top w:val="nil"/>
              <w:left w:val="single" w:sz="4" w:space="0" w:color="000000"/>
              <w:bottom w:val="single" w:sz="4" w:space="0" w:color="000000"/>
              <w:right w:val="single" w:sz="4" w:space="0" w:color="000000"/>
            </w:tcBorders>
            <w:vAlign w:val="center"/>
            <w:hideMark/>
          </w:tcPr>
          <w:p w:rsidR="00127A98" w:rsidRPr="00E85451" w:rsidRDefault="00127A98" w:rsidP="00127A98">
            <w:pPr>
              <w:widowControl/>
              <w:rPr>
                <w:rFonts w:ascii="Arial" w:hAnsi="Arial" w:cs="Arial"/>
                <w:color w:val="auto"/>
                <w:sz w:val="22"/>
                <w:szCs w:val="22"/>
                <w:lang w:val="en-GB" w:eastAsia="en-GB"/>
              </w:rPr>
            </w:pPr>
          </w:p>
        </w:tc>
        <w:tc>
          <w:tcPr>
            <w:tcW w:w="1418" w:type="dxa"/>
            <w:vMerge/>
            <w:tcBorders>
              <w:top w:val="nil"/>
              <w:left w:val="single" w:sz="4" w:space="0" w:color="000000"/>
              <w:bottom w:val="single" w:sz="4" w:space="0" w:color="000000"/>
              <w:right w:val="single" w:sz="4" w:space="0" w:color="000000"/>
            </w:tcBorders>
            <w:vAlign w:val="center"/>
            <w:hideMark/>
          </w:tcPr>
          <w:p w:rsidR="00127A98" w:rsidRPr="00E85451" w:rsidRDefault="00127A98" w:rsidP="00127A98">
            <w:pPr>
              <w:widowControl/>
              <w:rPr>
                <w:rFonts w:ascii="Arial" w:hAnsi="Arial" w:cs="Arial"/>
                <w:color w:val="auto"/>
                <w:sz w:val="22"/>
                <w:szCs w:val="22"/>
                <w:lang w:val="en-GB" w:eastAsia="en-GB"/>
              </w:rPr>
            </w:pPr>
          </w:p>
        </w:tc>
        <w:tc>
          <w:tcPr>
            <w:tcW w:w="1414" w:type="dxa"/>
            <w:vMerge/>
            <w:tcBorders>
              <w:top w:val="nil"/>
              <w:left w:val="single" w:sz="4" w:space="0" w:color="000000"/>
              <w:bottom w:val="single" w:sz="4" w:space="0" w:color="000000"/>
              <w:right w:val="single" w:sz="4" w:space="0" w:color="000000"/>
            </w:tcBorders>
            <w:vAlign w:val="center"/>
            <w:hideMark/>
          </w:tcPr>
          <w:p w:rsidR="00127A98" w:rsidRPr="00E85451" w:rsidRDefault="00127A98" w:rsidP="00127A98">
            <w:pPr>
              <w:widowControl/>
              <w:rPr>
                <w:rFonts w:ascii="Arial" w:hAnsi="Arial" w:cs="Arial"/>
                <w:color w:val="auto"/>
                <w:sz w:val="22"/>
                <w:szCs w:val="22"/>
                <w:lang w:val="en-GB" w:eastAsia="en-GB"/>
              </w:rPr>
            </w:pPr>
          </w:p>
        </w:tc>
        <w:tc>
          <w:tcPr>
            <w:tcW w:w="1412" w:type="dxa"/>
            <w:vMerge/>
            <w:tcBorders>
              <w:top w:val="nil"/>
              <w:left w:val="single" w:sz="4" w:space="0" w:color="000000"/>
              <w:bottom w:val="single" w:sz="4" w:space="0" w:color="000000"/>
              <w:right w:val="single" w:sz="4" w:space="0" w:color="000000"/>
            </w:tcBorders>
            <w:vAlign w:val="center"/>
            <w:hideMark/>
          </w:tcPr>
          <w:p w:rsidR="00127A98" w:rsidRPr="00E85451" w:rsidRDefault="00127A98" w:rsidP="00127A98">
            <w:pPr>
              <w:widowControl/>
              <w:rPr>
                <w:rFonts w:ascii="Arial" w:hAnsi="Arial" w:cs="Arial"/>
                <w:color w:val="auto"/>
                <w:sz w:val="22"/>
                <w:szCs w:val="22"/>
                <w:lang w:val="en-GB" w:eastAsia="en-GB"/>
              </w:rPr>
            </w:pPr>
          </w:p>
        </w:tc>
      </w:tr>
      <w:tr w:rsidR="00E85451" w:rsidRPr="00E85451" w:rsidTr="00127A98">
        <w:trPr>
          <w:trHeight w:val="253"/>
        </w:trPr>
        <w:tc>
          <w:tcPr>
            <w:tcW w:w="1451" w:type="dxa"/>
            <w:vMerge/>
            <w:tcBorders>
              <w:top w:val="nil"/>
              <w:left w:val="single" w:sz="4" w:space="0" w:color="000000"/>
              <w:bottom w:val="single" w:sz="4" w:space="0" w:color="000000"/>
              <w:right w:val="single" w:sz="4" w:space="0" w:color="000000"/>
            </w:tcBorders>
            <w:vAlign w:val="center"/>
            <w:hideMark/>
          </w:tcPr>
          <w:p w:rsidR="00127A98" w:rsidRPr="00E85451" w:rsidRDefault="00127A98" w:rsidP="00127A98">
            <w:pPr>
              <w:widowControl/>
              <w:rPr>
                <w:rFonts w:ascii="Arial" w:hAnsi="Arial" w:cs="Arial"/>
                <w:color w:val="auto"/>
                <w:sz w:val="22"/>
                <w:szCs w:val="22"/>
                <w:lang w:val="en-GB" w:eastAsia="en-GB"/>
              </w:rPr>
            </w:pPr>
          </w:p>
        </w:tc>
        <w:tc>
          <w:tcPr>
            <w:tcW w:w="1414" w:type="dxa"/>
            <w:gridSpan w:val="2"/>
            <w:vMerge/>
            <w:tcBorders>
              <w:top w:val="nil"/>
              <w:left w:val="single" w:sz="4" w:space="0" w:color="000000"/>
              <w:bottom w:val="single" w:sz="4" w:space="0" w:color="000000"/>
              <w:right w:val="single" w:sz="4" w:space="0" w:color="000000"/>
            </w:tcBorders>
            <w:vAlign w:val="center"/>
            <w:hideMark/>
          </w:tcPr>
          <w:p w:rsidR="00127A98" w:rsidRPr="00E85451" w:rsidRDefault="00127A98" w:rsidP="00127A98">
            <w:pPr>
              <w:widowControl/>
              <w:rPr>
                <w:rFonts w:ascii="Arial" w:hAnsi="Arial" w:cs="Arial"/>
                <w:color w:val="auto"/>
                <w:sz w:val="22"/>
                <w:szCs w:val="22"/>
                <w:lang w:val="en-GB" w:eastAsia="en-GB"/>
              </w:rPr>
            </w:pPr>
          </w:p>
        </w:tc>
        <w:tc>
          <w:tcPr>
            <w:tcW w:w="1413" w:type="dxa"/>
            <w:vMerge/>
            <w:tcBorders>
              <w:top w:val="nil"/>
              <w:left w:val="single" w:sz="4" w:space="0" w:color="000000"/>
              <w:bottom w:val="single" w:sz="4" w:space="0" w:color="000000"/>
              <w:right w:val="single" w:sz="4" w:space="0" w:color="000000"/>
            </w:tcBorders>
            <w:vAlign w:val="center"/>
            <w:hideMark/>
          </w:tcPr>
          <w:p w:rsidR="00127A98" w:rsidRPr="00E85451" w:rsidRDefault="00127A98" w:rsidP="00127A98">
            <w:pPr>
              <w:widowControl/>
              <w:rPr>
                <w:rFonts w:ascii="Arial" w:hAnsi="Arial" w:cs="Arial"/>
                <w:color w:val="auto"/>
                <w:sz w:val="22"/>
                <w:szCs w:val="22"/>
                <w:lang w:val="en-GB" w:eastAsia="en-GB"/>
              </w:rPr>
            </w:pPr>
          </w:p>
        </w:tc>
        <w:tc>
          <w:tcPr>
            <w:tcW w:w="1433" w:type="dxa"/>
            <w:vMerge/>
            <w:tcBorders>
              <w:top w:val="nil"/>
              <w:left w:val="single" w:sz="4" w:space="0" w:color="000000"/>
              <w:bottom w:val="single" w:sz="4" w:space="0" w:color="000000"/>
              <w:right w:val="single" w:sz="4" w:space="0" w:color="000000"/>
            </w:tcBorders>
            <w:vAlign w:val="center"/>
            <w:hideMark/>
          </w:tcPr>
          <w:p w:rsidR="00127A98" w:rsidRPr="00E85451" w:rsidRDefault="00127A98" w:rsidP="00127A98">
            <w:pPr>
              <w:widowControl/>
              <w:rPr>
                <w:rFonts w:ascii="Arial" w:hAnsi="Arial" w:cs="Arial"/>
                <w:color w:val="auto"/>
                <w:sz w:val="22"/>
                <w:szCs w:val="22"/>
                <w:lang w:val="en-GB" w:eastAsia="en-GB"/>
              </w:rPr>
            </w:pPr>
          </w:p>
        </w:tc>
        <w:tc>
          <w:tcPr>
            <w:tcW w:w="1419" w:type="dxa"/>
            <w:vMerge/>
            <w:tcBorders>
              <w:top w:val="nil"/>
              <w:left w:val="single" w:sz="4" w:space="0" w:color="000000"/>
              <w:bottom w:val="single" w:sz="4" w:space="0" w:color="000000"/>
              <w:right w:val="single" w:sz="4" w:space="0" w:color="000000"/>
            </w:tcBorders>
            <w:vAlign w:val="center"/>
            <w:hideMark/>
          </w:tcPr>
          <w:p w:rsidR="00127A98" w:rsidRPr="00E85451" w:rsidRDefault="00127A98" w:rsidP="00127A98">
            <w:pPr>
              <w:widowControl/>
              <w:rPr>
                <w:rFonts w:ascii="Arial" w:hAnsi="Arial" w:cs="Arial"/>
                <w:color w:val="auto"/>
                <w:sz w:val="22"/>
                <w:szCs w:val="22"/>
                <w:lang w:val="en-GB" w:eastAsia="en-GB"/>
              </w:rPr>
            </w:pPr>
          </w:p>
        </w:tc>
        <w:tc>
          <w:tcPr>
            <w:tcW w:w="1418" w:type="dxa"/>
            <w:vMerge/>
            <w:tcBorders>
              <w:top w:val="nil"/>
              <w:left w:val="single" w:sz="4" w:space="0" w:color="000000"/>
              <w:bottom w:val="single" w:sz="4" w:space="0" w:color="000000"/>
              <w:right w:val="single" w:sz="4" w:space="0" w:color="000000"/>
            </w:tcBorders>
            <w:vAlign w:val="center"/>
            <w:hideMark/>
          </w:tcPr>
          <w:p w:rsidR="00127A98" w:rsidRPr="00E85451" w:rsidRDefault="00127A98" w:rsidP="00127A98">
            <w:pPr>
              <w:widowControl/>
              <w:rPr>
                <w:rFonts w:ascii="Arial" w:hAnsi="Arial" w:cs="Arial"/>
                <w:color w:val="auto"/>
                <w:sz w:val="22"/>
                <w:szCs w:val="22"/>
                <w:lang w:val="en-GB" w:eastAsia="en-GB"/>
              </w:rPr>
            </w:pPr>
          </w:p>
        </w:tc>
        <w:tc>
          <w:tcPr>
            <w:tcW w:w="1414" w:type="dxa"/>
            <w:vMerge/>
            <w:tcBorders>
              <w:top w:val="nil"/>
              <w:left w:val="single" w:sz="4" w:space="0" w:color="000000"/>
              <w:bottom w:val="single" w:sz="4" w:space="0" w:color="000000"/>
              <w:right w:val="single" w:sz="4" w:space="0" w:color="000000"/>
            </w:tcBorders>
            <w:vAlign w:val="center"/>
            <w:hideMark/>
          </w:tcPr>
          <w:p w:rsidR="00127A98" w:rsidRPr="00E85451" w:rsidRDefault="00127A98" w:rsidP="00127A98">
            <w:pPr>
              <w:widowControl/>
              <w:rPr>
                <w:rFonts w:ascii="Arial" w:hAnsi="Arial" w:cs="Arial"/>
                <w:color w:val="auto"/>
                <w:sz w:val="22"/>
                <w:szCs w:val="22"/>
                <w:lang w:val="en-GB" w:eastAsia="en-GB"/>
              </w:rPr>
            </w:pPr>
          </w:p>
        </w:tc>
        <w:tc>
          <w:tcPr>
            <w:tcW w:w="1412" w:type="dxa"/>
            <w:vMerge/>
            <w:tcBorders>
              <w:top w:val="nil"/>
              <w:left w:val="single" w:sz="4" w:space="0" w:color="000000"/>
              <w:bottom w:val="single" w:sz="4" w:space="0" w:color="000000"/>
              <w:right w:val="single" w:sz="4" w:space="0" w:color="000000"/>
            </w:tcBorders>
            <w:vAlign w:val="center"/>
            <w:hideMark/>
          </w:tcPr>
          <w:p w:rsidR="00127A98" w:rsidRPr="00E85451" w:rsidRDefault="00127A98" w:rsidP="00127A98">
            <w:pPr>
              <w:widowControl/>
              <w:rPr>
                <w:rFonts w:ascii="Arial" w:hAnsi="Arial" w:cs="Arial"/>
                <w:color w:val="auto"/>
                <w:sz w:val="22"/>
                <w:szCs w:val="22"/>
                <w:lang w:val="en-GB" w:eastAsia="en-GB"/>
              </w:rPr>
            </w:pPr>
          </w:p>
        </w:tc>
      </w:tr>
      <w:tr w:rsidR="00E85451" w:rsidRPr="00E85451" w:rsidTr="00127A98">
        <w:trPr>
          <w:trHeight w:val="210"/>
        </w:trPr>
        <w:tc>
          <w:tcPr>
            <w:tcW w:w="145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Comenius</w:t>
            </w:r>
          </w:p>
        </w:tc>
        <w:tc>
          <w:tcPr>
            <w:tcW w:w="141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506</w:t>
            </w:r>
          </w:p>
        </w:tc>
        <w:tc>
          <w:tcPr>
            <w:tcW w:w="1413" w:type="dxa"/>
            <w:tcBorders>
              <w:top w:val="single" w:sz="4" w:space="0" w:color="000000"/>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197</w:t>
            </w:r>
          </w:p>
        </w:tc>
        <w:tc>
          <w:tcPr>
            <w:tcW w:w="1433" w:type="dxa"/>
            <w:tcBorders>
              <w:top w:val="single" w:sz="4" w:space="0" w:color="000000"/>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1.449.162,00 € </w:t>
            </w:r>
          </w:p>
        </w:tc>
        <w:tc>
          <w:tcPr>
            <w:tcW w:w="1419" w:type="dxa"/>
            <w:tcBorders>
              <w:top w:val="single" w:sz="4" w:space="0" w:color="000000"/>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1.675.162,00 € </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1.698.803,21 € </w:t>
            </w:r>
          </w:p>
        </w:tc>
        <w:tc>
          <w:tcPr>
            <w:tcW w:w="1414" w:type="dxa"/>
            <w:tcBorders>
              <w:top w:val="single" w:sz="4" w:space="0" w:color="000000"/>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101,4%</w:t>
            </w:r>
          </w:p>
        </w:tc>
        <w:tc>
          <w:tcPr>
            <w:tcW w:w="1412" w:type="dxa"/>
            <w:tcBorders>
              <w:top w:val="single" w:sz="4" w:space="0" w:color="auto"/>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1500</w:t>
            </w:r>
          </w:p>
        </w:tc>
      </w:tr>
      <w:tr w:rsidR="00E85451" w:rsidRPr="00E85451" w:rsidTr="00127A98">
        <w:trPr>
          <w:trHeight w:val="210"/>
        </w:trPr>
        <w:tc>
          <w:tcPr>
            <w:tcW w:w="1451" w:type="dxa"/>
            <w:tcBorders>
              <w:top w:val="nil"/>
              <w:left w:val="single" w:sz="4" w:space="0" w:color="000000"/>
              <w:bottom w:val="single" w:sz="4" w:space="0" w:color="000000"/>
              <w:right w:val="single" w:sz="4" w:space="0" w:color="000000"/>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Leonardo da Vinci</w:t>
            </w:r>
          </w:p>
        </w:tc>
        <w:tc>
          <w:tcPr>
            <w:tcW w:w="1414" w:type="dxa"/>
            <w:gridSpan w:val="2"/>
            <w:tcBorders>
              <w:top w:val="nil"/>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222</w:t>
            </w:r>
          </w:p>
        </w:tc>
        <w:tc>
          <w:tcPr>
            <w:tcW w:w="1413" w:type="dxa"/>
            <w:tcBorders>
              <w:top w:val="nil"/>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93</w:t>
            </w:r>
          </w:p>
        </w:tc>
        <w:tc>
          <w:tcPr>
            <w:tcW w:w="1433" w:type="dxa"/>
            <w:tcBorders>
              <w:top w:val="nil"/>
              <w:left w:val="nil"/>
              <w:bottom w:val="single" w:sz="4" w:space="0" w:color="000000"/>
              <w:right w:val="single" w:sz="4" w:space="0" w:color="000000"/>
            </w:tcBorders>
            <w:shd w:val="clear" w:color="000000" w:fill="FFFFFF"/>
            <w:noWrap/>
            <w:vAlign w:val="bottom"/>
            <w:hideMark/>
          </w:tcPr>
          <w:p w:rsidR="00127A98" w:rsidRPr="00E85451" w:rsidRDefault="00127A98" w:rsidP="00127A98">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2.708.224,00 € </w:t>
            </w:r>
          </w:p>
        </w:tc>
        <w:tc>
          <w:tcPr>
            <w:tcW w:w="1419" w:type="dxa"/>
            <w:tcBorders>
              <w:top w:val="nil"/>
              <w:left w:val="nil"/>
              <w:bottom w:val="single" w:sz="4" w:space="0" w:color="000000"/>
              <w:right w:val="single" w:sz="4" w:space="0" w:color="000000"/>
            </w:tcBorders>
            <w:shd w:val="clear" w:color="000000" w:fill="FFFFFF"/>
            <w:noWrap/>
            <w:vAlign w:val="bottom"/>
            <w:hideMark/>
          </w:tcPr>
          <w:p w:rsidR="00127A98" w:rsidRPr="00E85451" w:rsidRDefault="00127A98" w:rsidP="00127A98">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2.677.183,91 € </w:t>
            </w:r>
          </w:p>
        </w:tc>
        <w:tc>
          <w:tcPr>
            <w:tcW w:w="1418" w:type="dxa"/>
            <w:tcBorders>
              <w:top w:val="nil"/>
              <w:left w:val="nil"/>
              <w:bottom w:val="single" w:sz="4" w:space="0" w:color="000000"/>
              <w:right w:val="single" w:sz="4" w:space="0" w:color="000000"/>
            </w:tcBorders>
            <w:shd w:val="clear" w:color="000000" w:fill="FFFFFF"/>
            <w:noWrap/>
            <w:vAlign w:val="bottom"/>
            <w:hideMark/>
          </w:tcPr>
          <w:p w:rsidR="00127A98" w:rsidRPr="00E85451" w:rsidRDefault="00127A98" w:rsidP="00127A98">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2.727.328,83 € </w:t>
            </w:r>
          </w:p>
        </w:tc>
        <w:tc>
          <w:tcPr>
            <w:tcW w:w="1414" w:type="dxa"/>
            <w:tcBorders>
              <w:top w:val="nil"/>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101,9%</w:t>
            </w:r>
          </w:p>
        </w:tc>
        <w:tc>
          <w:tcPr>
            <w:tcW w:w="1412" w:type="dxa"/>
            <w:tcBorders>
              <w:top w:val="nil"/>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1333</w:t>
            </w:r>
          </w:p>
        </w:tc>
      </w:tr>
      <w:tr w:rsidR="00E85451" w:rsidRPr="00E85451" w:rsidTr="00127A98">
        <w:trPr>
          <w:trHeight w:val="210"/>
        </w:trPr>
        <w:tc>
          <w:tcPr>
            <w:tcW w:w="1451" w:type="dxa"/>
            <w:tcBorders>
              <w:top w:val="nil"/>
              <w:left w:val="single" w:sz="4" w:space="0" w:color="000000"/>
              <w:bottom w:val="single" w:sz="4" w:space="0" w:color="000000"/>
              <w:right w:val="single" w:sz="4" w:space="0" w:color="000000"/>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Grundtvig</w:t>
            </w:r>
          </w:p>
        </w:tc>
        <w:tc>
          <w:tcPr>
            <w:tcW w:w="1414" w:type="dxa"/>
            <w:gridSpan w:val="2"/>
            <w:tcBorders>
              <w:top w:val="nil"/>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297</w:t>
            </w:r>
          </w:p>
        </w:tc>
        <w:tc>
          <w:tcPr>
            <w:tcW w:w="1413" w:type="dxa"/>
            <w:tcBorders>
              <w:top w:val="nil"/>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93</w:t>
            </w:r>
          </w:p>
        </w:tc>
        <w:tc>
          <w:tcPr>
            <w:tcW w:w="1433" w:type="dxa"/>
            <w:tcBorders>
              <w:top w:val="nil"/>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434.365,00 € </w:t>
            </w:r>
          </w:p>
        </w:tc>
        <w:tc>
          <w:tcPr>
            <w:tcW w:w="1419" w:type="dxa"/>
            <w:tcBorders>
              <w:top w:val="nil"/>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538.210,41 € </w:t>
            </w:r>
          </w:p>
        </w:tc>
        <w:tc>
          <w:tcPr>
            <w:tcW w:w="1418" w:type="dxa"/>
            <w:tcBorders>
              <w:top w:val="nil"/>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557.791,78 €</w:t>
            </w:r>
          </w:p>
        </w:tc>
        <w:tc>
          <w:tcPr>
            <w:tcW w:w="1414" w:type="dxa"/>
            <w:tcBorders>
              <w:top w:val="nil"/>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103,64%</w:t>
            </w:r>
          </w:p>
        </w:tc>
        <w:tc>
          <w:tcPr>
            <w:tcW w:w="1412" w:type="dxa"/>
            <w:tcBorders>
              <w:top w:val="nil"/>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431</w:t>
            </w:r>
          </w:p>
        </w:tc>
      </w:tr>
      <w:tr w:rsidR="00E85451" w:rsidRPr="00E85451" w:rsidTr="00127A98">
        <w:trPr>
          <w:trHeight w:val="210"/>
        </w:trPr>
        <w:tc>
          <w:tcPr>
            <w:tcW w:w="1451" w:type="dxa"/>
            <w:tcBorders>
              <w:top w:val="nil"/>
              <w:left w:val="single" w:sz="4" w:space="0" w:color="000000"/>
              <w:bottom w:val="single" w:sz="4" w:space="0" w:color="000000"/>
              <w:right w:val="single" w:sz="4" w:space="0" w:color="000000"/>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Erasmus</w:t>
            </w:r>
          </w:p>
        </w:tc>
        <w:tc>
          <w:tcPr>
            <w:tcW w:w="1414" w:type="dxa"/>
            <w:gridSpan w:val="2"/>
            <w:tcBorders>
              <w:top w:val="nil"/>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42</w:t>
            </w:r>
          </w:p>
        </w:tc>
        <w:tc>
          <w:tcPr>
            <w:tcW w:w="1413" w:type="dxa"/>
            <w:tcBorders>
              <w:top w:val="nil"/>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37</w:t>
            </w:r>
          </w:p>
        </w:tc>
        <w:tc>
          <w:tcPr>
            <w:tcW w:w="1433" w:type="dxa"/>
            <w:tcBorders>
              <w:top w:val="nil"/>
              <w:left w:val="nil"/>
              <w:bottom w:val="single" w:sz="4" w:space="0" w:color="000000"/>
              <w:right w:val="single" w:sz="4" w:space="0" w:color="000000"/>
            </w:tcBorders>
            <w:shd w:val="clear" w:color="000000" w:fill="FFFFFF"/>
            <w:noWrap/>
            <w:vAlign w:val="bottom"/>
            <w:hideMark/>
          </w:tcPr>
          <w:p w:rsidR="00127A98" w:rsidRPr="00E85451" w:rsidRDefault="00127A98" w:rsidP="00127A98">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4.108.000,00 € </w:t>
            </w:r>
          </w:p>
        </w:tc>
        <w:tc>
          <w:tcPr>
            <w:tcW w:w="1419" w:type="dxa"/>
            <w:tcBorders>
              <w:top w:val="nil"/>
              <w:left w:val="nil"/>
              <w:bottom w:val="single" w:sz="4" w:space="0" w:color="000000"/>
              <w:right w:val="single" w:sz="4" w:space="0" w:color="000000"/>
            </w:tcBorders>
            <w:shd w:val="clear" w:color="000000" w:fill="FFFFFF"/>
            <w:noWrap/>
            <w:vAlign w:val="bottom"/>
            <w:hideMark/>
          </w:tcPr>
          <w:p w:rsidR="00127A98" w:rsidRPr="00E85451" w:rsidRDefault="00127A98" w:rsidP="00127A98">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3.809.194,68 € </w:t>
            </w:r>
          </w:p>
        </w:tc>
        <w:tc>
          <w:tcPr>
            <w:tcW w:w="1418" w:type="dxa"/>
            <w:tcBorders>
              <w:top w:val="nil"/>
              <w:left w:val="nil"/>
              <w:bottom w:val="single" w:sz="4" w:space="0" w:color="000000"/>
              <w:right w:val="single" w:sz="4" w:space="0" w:color="000000"/>
            </w:tcBorders>
            <w:shd w:val="clear" w:color="000000" w:fill="FFFFFF"/>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3.783.197,74 €</w:t>
            </w:r>
          </w:p>
        </w:tc>
        <w:tc>
          <w:tcPr>
            <w:tcW w:w="1414" w:type="dxa"/>
            <w:tcBorders>
              <w:top w:val="nil"/>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99,32%</w:t>
            </w:r>
          </w:p>
        </w:tc>
        <w:tc>
          <w:tcPr>
            <w:tcW w:w="1412" w:type="dxa"/>
            <w:tcBorders>
              <w:top w:val="nil"/>
              <w:left w:val="nil"/>
              <w:bottom w:val="single" w:sz="4" w:space="0" w:color="000000"/>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1948</w:t>
            </w:r>
          </w:p>
        </w:tc>
      </w:tr>
      <w:tr w:rsidR="00E85451" w:rsidRPr="00E85451" w:rsidTr="00127A98">
        <w:trPr>
          <w:trHeight w:val="210"/>
        </w:trPr>
        <w:tc>
          <w:tcPr>
            <w:tcW w:w="1451" w:type="dxa"/>
            <w:tcBorders>
              <w:top w:val="nil"/>
              <w:left w:val="single" w:sz="4" w:space="0" w:color="000000"/>
              <w:bottom w:val="single" w:sz="4" w:space="0" w:color="auto"/>
              <w:right w:val="single" w:sz="4" w:space="0" w:color="000000"/>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Studijski posjeti</w:t>
            </w:r>
          </w:p>
        </w:tc>
        <w:tc>
          <w:tcPr>
            <w:tcW w:w="1414" w:type="dxa"/>
            <w:gridSpan w:val="2"/>
            <w:tcBorders>
              <w:top w:val="nil"/>
              <w:left w:val="nil"/>
              <w:bottom w:val="single" w:sz="4" w:space="0" w:color="auto"/>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80</w:t>
            </w:r>
          </w:p>
        </w:tc>
        <w:tc>
          <w:tcPr>
            <w:tcW w:w="1413" w:type="dxa"/>
            <w:tcBorders>
              <w:top w:val="nil"/>
              <w:left w:val="nil"/>
              <w:bottom w:val="single" w:sz="4" w:space="0" w:color="auto"/>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27</w:t>
            </w:r>
          </w:p>
        </w:tc>
        <w:tc>
          <w:tcPr>
            <w:tcW w:w="1433" w:type="dxa"/>
            <w:tcBorders>
              <w:top w:val="nil"/>
              <w:left w:val="nil"/>
              <w:bottom w:val="single" w:sz="4" w:space="0" w:color="auto"/>
              <w:right w:val="single" w:sz="4" w:space="0" w:color="000000"/>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31.000,00 € </w:t>
            </w:r>
          </w:p>
        </w:tc>
        <w:tc>
          <w:tcPr>
            <w:tcW w:w="1419" w:type="dxa"/>
            <w:tcBorders>
              <w:top w:val="nil"/>
              <w:left w:val="nil"/>
              <w:bottom w:val="single" w:sz="4" w:space="0" w:color="auto"/>
              <w:right w:val="single" w:sz="4" w:space="0" w:color="000000"/>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 xml:space="preserve">         31.000,00 € </w:t>
            </w:r>
          </w:p>
        </w:tc>
        <w:tc>
          <w:tcPr>
            <w:tcW w:w="1418" w:type="dxa"/>
            <w:tcBorders>
              <w:top w:val="nil"/>
              <w:left w:val="nil"/>
              <w:bottom w:val="single" w:sz="4" w:space="0" w:color="auto"/>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31.558,25 €</w:t>
            </w:r>
          </w:p>
        </w:tc>
        <w:tc>
          <w:tcPr>
            <w:tcW w:w="1414" w:type="dxa"/>
            <w:tcBorders>
              <w:top w:val="nil"/>
              <w:left w:val="nil"/>
              <w:bottom w:val="single" w:sz="4" w:space="0" w:color="auto"/>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101,80%</w:t>
            </w:r>
          </w:p>
        </w:tc>
        <w:tc>
          <w:tcPr>
            <w:tcW w:w="1412" w:type="dxa"/>
            <w:tcBorders>
              <w:top w:val="nil"/>
              <w:left w:val="nil"/>
              <w:bottom w:val="single" w:sz="4" w:space="0" w:color="auto"/>
              <w:right w:val="single" w:sz="4" w:space="0" w:color="000000"/>
            </w:tcBorders>
            <w:shd w:val="clear" w:color="auto" w:fill="auto"/>
            <w:noWrap/>
            <w:vAlign w:val="bottom"/>
            <w:hideMark/>
          </w:tcPr>
          <w:p w:rsidR="00127A98" w:rsidRPr="00E85451" w:rsidRDefault="00127A98" w:rsidP="00127A98">
            <w:pPr>
              <w:widowControl/>
              <w:jc w:val="right"/>
              <w:rPr>
                <w:rFonts w:ascii="Arial" w:hAnsi="Arial" w:cs="Arial"/>
                <w:color w:val="auto"/>
                <w:sz w:val="22"/>
                <w:szCs w:val="22"/>
                <w:lang w:val="en-GB" w:eastAsia="en-GB"/>
              </w:rPr>
            </w:pPr>
            <w:r w:rsidRPr="00E85451">
              <w:rPr>
                <w:rFonts w:ascii="Arial" w:hAnsi="Arial" w:cs="Arial"/>
                <w:color w:val="auto"/>
                <w:sz w:val="22"/>
                <w:szCs w:val="22"/>
                <w:lang w:val="en-GB" w:eastAsia="en-GB"/>
              </w:rPr>
              <w:t>21</w:t>
            </w:r>
          </w:p>
        </w:tc>
      </w:tr>
      <w:tr w:rsidR="00E85451" w:rsidRPr="00E85451" w:rsidTr="00127A98">
        <w:trPr>
          <w:trHeight w:val="210"/>
        </w:trPr>
        <w:tc>
          <w:tcPr>
            <w:tcW w:w="1451" w:type="dxa"/>
            <w:tcBorders>
              <w:top w:val="single" w:sz="4" w:space="0" w:color="auto"/>
              <w:left w:val="single" w:sz="4" w:space="0" w:color="auto"/>
              <w:bottom w:val="single" w:sz="4" w:space="0" w:color="auto"/>
              <w:right w:val="single" w:sz="4" w:space="0" w:color="auto"/>
            </w:tcBorders>
            <w:shd w:val="clear" w:color="000000" w:fill="7F7F7F"/>
            <w:vAlign w:val="center"/>
            <w:hideMark/>
          </w:tcPr>
          <w:p w:rsidR="00127A98" w:rsidRPr="00E85451" w:rsidRDefault="00127A98" w:rsidP="00127A98">
            <w:pPr>
              <w:widowControl/>
              <w:rPr>
                <w:rFonts w:ascii="Arial" w:hAnsi="Arial" w:cs="Arial"/>
                <w:b/>
                <w:bCs/>
                <w:color w:val="auto"/>
                <w:sz w:val="22"/>
                <w:szCs w:val="22"/>
                <w:u w:val="single"/>
                <w:lang w:val="en-GB" w:eastAsia="en-GB"/>
              </w:rPr>
            </w:pPr>
            <w:r w:rsidRPr="00E85451">
              <w:rPr>
                <w:rFonts w:ascii="Arial" w:hAnsi="Arial" w:cs="Arial"/>
                <w:b/>
                <w:bCs/>
                <w:color w:val="auto"/>
                <w:sz w:val="22"/>
                <w:szCs w:val="22"/>
                <w:u w:val="single"/>
                <w:lang w:val="en-GB" w:eastAsia="en-GB"/>
              </w:rPr>
              <w:t>Ukupno</w:t>
            </w:r>
          </w:p>
        </w:tc>
        <w:tc>
          <w:tcPr>
            <w:tcW w:w="1414" w:type="dxa"/>
            <w:gridSpan w:val="2"/>
            <w:tcBorders>
              <w:top w:val="single" w:sz="4" w:space="0" w:color="auto"/>
              <w:left w:val="single" w:sz="4" w:space="0" w:color="auto"/>
              <w:bottom w:val="single" w:sz="4" w:space="0" w:color="auto"/>
              <w:right w:val="single" w:sz="4" w:space="0" w:color="auto"/>
            </w:tcBorders>
            <w:shd w:val="clear" w:color="000000" w:fill="7F7F7F"/>
            <w:vAlign w:val="center"/>
            <w:hideMark/>
          </w:tcPr>
          <w:p w:rsidR="00127A98" w:rsidRPr="00E85451" w:rsidRDefault="00127A98" w:rsidP="00127A98">
            <w:pPr>
              <w:widowControl/>
              <w:jc w:val="right"/>
              <w:rPr>
                <w:rFonts w:ascii="Arial" w:hAnsi="Arial" w:cs="Arial"/>
                <w:b/>
                <w:bCs/>
                <w:color w:val="auto"/>
                <w:sz w:val="22"/>
                <w:szCs w:val="22"/>
                <w:u w:val="single"/>
                <w:lang w:val="en-GB" w:eastAsia="en-GB"/>
              </w:rPr>
            </w:pPr>
            <w:r w:rsidRPr="00E85451">
              <w:rPr>
                <w:rFonts w:ascii="Arial" w:hAnsi="Arial" w:cs="Arial"/>
                <w:b/>
                <w:bCs/>
                <w:color w:val="auto"/>
                <w:sz w:val="22"/>
                <w:szCs w:val="22"/>
                <w:u w:val="single"/>
                <w:lang w:val="en-GB" w:eastAsia="en-GB"/>
              </w:rPr>
              <w:t>1155</w:t>
            </w:r>
          </w:p>
        </w:tc>
        <w:tc>
          <w:tcPr>
            <w:tcW w:w="1413" w:type="dxa"/>
            <w:tcBorders>
              <w:top w:val="single" w:sz="4" w:space="0" w:color="auto"/>
              <w:left w:val="single" w:sz="4" w:space="0" w:color="auto"/>
              <w:bottom w:val="single" w:sz="4" w:space="0" w:color="auto"/>
              <w:right w:val="single" w:sz="4" w:space="0" w:color="auto"/>
            </w:tcBorders>
            <w:shd w:val="clear" w:color="000000" w:fill="7F7F7F"/>
            <w:vAlign w:val="center"/>
            <w:hideMark/>
          </w:tcPr>
          <w:p w:rsidR="00127A98" w:rsidRPr="00E85451" w:rsidRDefault="00127A98" w:rsidP="00127A98">
            <w:pPr>
              <w:widowControl/>
              <w:jc w:val="right"/>
              <w:rPr>
                <w:rFonts w:ascii="Arial" w:hAnsi="Arial" w:cs="Arial"/>
                <w:b/>
                <w:bCs/>
                <w:color w:val="auto"/>
                <w:sz w:val="22"/>
                <w:szCs w:val="22"/>
                <w:u w:val="single"/>
                <w:lang w:val="en-GB" w:eastAsia="en-GB"/>
              </w:rPr>
            </w:pPr>
            <w:r w:rsidRPr="00E85451">
              <w:rPr>
                <w:rFonts w:ascii="Arial" w:hAnsi="Arial" w:cs="Arial"/>
                <w:b/>
                <w:bCs/>
                <w:color w:val="auto"/>
                <w:sz w:val="22"/>
                <w:szCs w:val="22"/>
                <w:u w:val="single"/>
                <w:lang w:val="en-GB" w:eastAsia="en-GB"/>
              </w:rPr>
              <w:t>447</w:t>
            </w:r>
          </w:p>
        </w:tc>
        <w:tc>
          <w:tcPr>
            <w:tcW w:w="1433" w:type="dxa"/>
            <w:tcBorders>
              <w:top w:val="single" w:sz="4" w:space="0" w:color="auto"/>
              <w:left w:val="single" w:sz="4" w:space="0" w:color="auto"/>
              <w:bottom w:val="single" w:sz="4" w:space="0" w:color="auto"/>
              <w:right w:val="single" w:sz="4" w:space="0" w:color="auto"/>
            </w:tcBorders>
            <w:shd w:val="clear" w:color="000000" w:fill="7F7F7F"/>
            <w:vAlign w:val="center"/>
            <w:hideMark/>
          </w:tcPr>
          <w:p w:rsidR="00127A98" w:rsidRPr="00E85451" w:rsidRDefault="00127A98" w:rsidP="00127A98">
            <w:pPr>
              <w:widowControl/>
              <w:jc w:val="right"/>
              <w:rPr>
                <w:rFonts w:ascii="Arial" w:hAnsi="Arial" w:cs="Arial"/>
                <w:b/>
                <w:bCs/>
                <w:color w:val="auto"/>
                <w:sz w:val="22"/>
                <w:szCs w:val="22"/>
                <w:u w:val="single"/>
                <w:lang w:val="en-GB" w:eastAsia="en-GB"/>
              </w:rPr>
            </w:pPr>
            <w:r w:rsidRPr="00E85451">
              <w:rPr>
                <w:rFonts w:ascii="Arial" w:hAnsi="Arial" w:cs="Arial"/>
                <w:b/>
                <w:bCs/>
                <w:color w:val="auto"/>
                <w:sz w:val="22"/>
                <w:szCs w:val="22"/>
                <w:u w:val="single"/>
                <w:lang w:val="en-GB" w:eastAsia="en-GB"/>
              </w:rPr>
              <w:t>8.730.751,00 €</w:t>
            </w:r>
          </w:p>
        </w:tc>
        <w:tc>
          <w:tcPr>
            <w:tcW w:w="1419" w:type="dxa"/>
            <w:tcBorders>
              <w:top w:val="single" w:sz="4" w:space="0" w:color="auto"/>
              <w:left w:val="single" w:sz="4" w:space="0" w:color="auto"/>
              <w:bottom w:val="single" w:sz="4" w:space="0" w:color="auto"/>
              <w:right w:val="single" w:sz="4" w:space="0" w:color="auto"/>
            </w:tcBorders>
            <w:shd w:val="clear" w:color="000000" w:fill="7F7F7F"/>
            <w:vAlign w:val="center"/>
            <w:hideMark/>
          </w:tcPr>
          <w:p w:rsidR="00127A98" w:rsidRPr="00E85451" w:rsidRDefault="00127A98" w:rsidP="00127A98">
            <w:pPr>
              <w:widowControl/>
              <w:jc w:val="right"/>
              <w:rPr>
                <w:rFonts w:ascii="Arial" w:hAnsi="Arial" w:cs="Arial"/>
                <w:b/>
                <w:bCs/>
                <w:color w:val="auto"/>
                <w:sz w:val="22"/>
                <w:szCs w:val="22"/>
                <w:u w:val="single"/>
                <w:lang w:val="en-GB" w:eastAsia="en-GB"/>
              </w:rPr>
            </w:pPr>
            <w:r w:rsidRPr="00E85451">
              <w:rPr>
                <w:rFonts w:ascii="Arial" w:hAnsi="Arial" w:cs="Arial"/>
                <w:b/>
                <w:bCs/>
                <w:color w:val="auto"/>
                <w:sz w:val="22"/>
                <w:szCs w:val="22"/>
                <w:u w:val="single"/>
                <w:lang w:val="en-GB" w:eastAsia="en-GB"/>
              </w:rPr>
              <w:t>8.730.751,00 €</w:t>
            </w:r>
          </w:p>
        </w:tc>
        <w:tc>
          <w:tcPr>
            <w:tcW w:w="1418" w:type="dxa"/>
            <w:tcBorders>
              <w:top w:val="single" w:sz="4" w:space="0" w:color="auto"/>
              <w:left w:val="single" w:sz="4" w:space="0" w:color="auto"/>
              <w:bottom w:val="single" w:sz="4" w:space="0" w:color="auto"/>
              <w:right w:val="single" w:sz="4" w:space="0" w:color="auto"/>
            </w:tcBorders>
            <w:shd w:val="clear" w:color="000000" w:fill="7F7F7F"/>
            <w:vAlign w:val="center"/>
            <w:hideMark/>
          </w:tcPr>
          <w:p w:rsidR="00127A98" w:rsidRPr="00E85451" w:rsidRDefault="00127A98" w:rsidP="00127A98">
            <w:pPr>
              <w:widowControl/>
              <w:jc w:val="right"/>
              <w:rPr>
                <w:rFonts w:ascii="Arial" w:hAnsi="Arial" w:cs="Arial"/>
                <w:b/>
                <w:bCs/>
                <w:color w:val="auto"/>
                <w:sz w:val="22"/>
                <w:szCs w:val="22"/>
                <w:u w:val="single"/>
                <w:lang w:val="en-GB" w:eastAsia="en-GB"/>
              </w:rPr>
            </w:pPr>
            <w:r w:rsidRPr="00E85451">
              <w:rPr>
                <w:rFonts w:ascii="Arial" w:hAnsi="Arial" w:cs="Arial"/>
                <w:b/>
                <w:bCs/>
                <w:color w:val="auto"/>
                <w:sz w:val="22"/>
                <w:szCs w:val="22"/>
                <w:u w:val="single"/>
                <w:lang w:val="en-GB" w:eastAsia="en-GB"/>
              </w:rPr>
              <w:t>8.798.679,81 €</w:t>
            </w:r>
          </w:p>
        </w:tc>
        <w:tc>
          <w:tcPr>
            <w:tcW w:w="1414" w:type="dxa"/>
            <w:tcBorders>
              <w:top w:val="single" w:sz="4" w:space="0" w:color="auto"/>
              <w:left w:val="single" w:sz="4" w:space="0" w:color="auto"/>
              <w:bottom w:val="single" w:sz="4" w:space="0" w:color="auto"/>
              <w:right w:val="single" w:sz="4" w:space="0" w:color="auto"/>
            </w:tcBorders>
            <w:shd w:val="clear" w:color="000000" w:fill="7F7F7F"/>
            <w:vAlign w:val="center"/>
            <w:hideMark/>
          </w:tcPr>
          <w:p w:rsidR="00127A98" w:rsidRPr="00E85451" w:rsidRDefault="00127A98" w:rsidP="00127A98">
            <w:pPr>
              <w:widowControl/>
              <w:jc w:val="right"/>
              <w:rPr>
                <w:rFonts w:ascii="Arial" w:hAnsi="Arial" w:cs="Arial"/>
                <w:b/>
                <w:bCs/>
                <w:color w:val="auto"/>
                <w:sz w:val="22"/>
                <w:szCs w:val="22"/>
                <w:u w:val="single"/>
                <w:lang w:val="en-GB" w:eastAsia="en-GB"/>
              </w:rPr>
            </w:pPr>
            <w:r w:rsidRPr="00E85451">
              <w:rPr>
                <w:rFonts w:ascii="Arial" w:hAnsi="Arial" w:cs="Arial"/>
                <w:b/>
                <w:bCs/>
                <w:color w:val="auto"/>
                <w:sz w:val="22"/>
                <w:szCs w:val="22"/>
                <w:u w:val="single"/>
                <w:lang w:val="en-GB" w:eastAsia="en-GB"/>
              </w:rPr>
              <w:t>100,78%</w:t>
            </w:r>
          </w:p>
        </w:tc>
        <w:tc>
          <w:tcPr>
            <w:tcW w:w="1412" w:type="dxa"/>
            <w:tcBorders>
              <w:top w:val="single" w:sz="4" w:space="0" w:color="auto"/>
              <w:left w:val="single" w:sz="4" w:space="0" w:color="auto"/>
              <w:bottom w:val="single" w:sz="4" w:space="0" w:color="auto"/>
              <w:right w:val="single" w:sz="4" w:space="0" w:color="auto"/>
            </w:tcBorders>
            <w:shd w:val="clear" w:color="000000" w:fill="7F7F7F"/>
            <w:vAlign w:val="center"/>
            <w:hideMark/>
          </w:tcPr>
          <w:p w:rsidR="00127A98" w:rsidRPr="00E85451" w:rsidRDefault="00127A98" w:rsidP="00127A98">
            <w:pPr>
              <w:widowControl/>
              <w:jc w:val="right"/>
              <w:rPr>
                <w:rFonts w:ascii="Arial" w:hAnsi="Arial" w:cs="Arial"/>
                <w:b/>
                <w:bCs/>
                <w:color w:val="auto"/>
                <w:sz w:val="22"/>
                <w:szCs w:val="22"/>
                <w:u w:val="single"/>
                <w:lang w:val="en-GB" w:eastAsia="en-GB"/>
              </w:rPr>
            </w:pPr>
            <w:r w:rsidRPr="00E85451">
              <w:rPr>
                <w:rFonts w:ascii="Arial" w:hAnsi="Arial" w:cs="Arial"/>
                <w:b/>
                <w:bCs/>
                <w:color w:val="auto"/>
                <w:sz w:val="22"/>
                <w:szCs w:val="22"/>
                <w:u w:val="single"/>
                <w:lang w:val="en-GB" w:eastAsia="en-GB"/>
              </w:rPr>
              <w:t>5233</w:t>
            </w:r>
          </w:p>
        </w:tc>
      </w:tr>
      <w:tr w:rsidR="00E85451" w:rsidRPr="00E85451" w:rsidTr="00127A98">
        <w:trPr>
          <w:trHeight w:val="210"/>
        </w:trPr>
        <w:tc>
          <w:tcPr>
            <w:tcW w:w="11374" w:type="dxa"/>
            <w:gridSpan w:val="9"/>
            <w:tcBorders>
              <w:top w:val="single" w:sz="4" w:space="0" w:color="auto"/>
              <w:bottom w:val="nil"/>
              <w:right w:val="nil"/>
            </w:tcBorders>
            <w:shd w:val="clear" w:color="000000" w:fill="FFFFFF"/>
            <w:vAlign w:val="center"/>
            <w:hideMark/>
          </w:tcPr>
          <w:p w:rsidR="00127A98" w:rsidRPr="00E85451" w:rsidRDefault="00127A98" w:rsidP="00127A98">
            <w:pPr>
              <w:widowControl/>
              <w:rPr>
                <w:rFonts w:ascii="Arial" w:hAnsi="Arial" w:cs="Arial"/>
                <w:color w:val="auto"/>
                <w:sz w:val="22"/>
                <w:szCs w:val="22"/>
                <w:u w:val="single"/>
                <w:lang w:val="en-GB" w:eastAsia="en-GB"/>
              </w:rPr>
            </w:pPr>
            <w:r w:rsidRPr="00E85451">
              <w:rPr>
                <w:rFonts w:ascii="Arial" w:hAnsi="Arial" w:cs="Arial"/>
                <w:color w:val="auto"/>
                <w:sz w:val="22"/>
                <w:szCs w:val="22"/>
                <w:u w:val="single"/>
                <w:lang w:val="en-GB" w:eastAsia="en-GB"/>
              </w:rPr>
              <w:t> </w:t>
            </w:r>
          </w:p>
        </w:tc>
      </w:tr>
      <w:tr w:rsidR="00E85451" w:rsidRPr="00E85451" w:rsidTr="00127A98">
        <w:trPr>
          <w:trHeight w:val="300"/>
        </w:trPr>
        <w:tc>
          <w:tcPr>
            <w:tcW w:w="2567" w:type="dxa"/>
            <w:gridSpan w:val="2"/>
            <w:tcBorders>
              <w:top w:val="nil"/>
              <w:bottom w:val="nil"/>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r w:rsidRPr="00E85451">
              <w:rPr>
                <w:rFonts w:ascii="Arial" w:hAnsi="Arial" w:cs="Arial"/>
                <w:color w:val="auto"/>
                <w:sz w:val="22"/>
                <w:szCs w:val="22"/>
                <w:lang w:val="en-GB" w:eastAsia="en-GB"/>
              </w:rPr>
              <w:t>Datum: 31.12.2014.</w:t>
            </w:r>
          </w:p>
        </w:tc>
        <w:tc>
          <w:tcPr>
            <w:tcW w:w="298" w:type="dxa"/>
            <w:tcBorders>
              <w:top w:val="nil"/>
              <w:bottom w:val="nil"/>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p>
        </w:tc>
        <w:tc>
          <w:tcPr>
            <w:tcW w:w="1413" w:type="dxa"/>
            <w:tcBorders>
              <w:top w:val="nil"/>
              <w:bottom w:val="nil"/>
              <w:right w:val="nil"/>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p>
        </w:tc>
        <w:tc>
          <w:tcPr>
            <w:tcW w:w="1433" w:type="dxa"/>
            <w:tcBorders>
              <w:top w:val="nil"/>
              <w:left w:val="nil"/>
              <w:bottom w:val="nil"/>
              <w:right w:val="nil"/>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p>
        </w:tc>
        <w:tc>
          <w:tcPr>
            <w:tcW w:w="1419" w:type="dxa"/>
            <w:tcBorders>
              <w:top w:val="nil"/>
              <w:left w:val="nil"/>
              <w:bottom w:val="nil"/>
              <w:right w:val="nil"/>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p>
        </w:tc>
        <w:tc>
          <w:tcPr>
            <w:tcW w:w="1418" w:type="dxa"/>
            <w:tcBorders>
              <w:top w:val="nil"/>
              <w:left w:val="nil"/>
              <w:bottom w:val="nil"/>
              <w:right w:val="nil"/>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p>
        </w:tc>
        <w:tc>
          <w:tcPr>
            <w:tcW w:w="1414" w:type="dxa"/>
            <w:tcBorders>
              <w:top w:val="nil"/>
              <w:left w:val="nil"/>
              <w:bottom w:val="nil"/>
              <w:right w:val="nil"/>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p>
        </w:tc>
        <w:tc>
          <w:tcPr>
            <w:tcW w:w="1412" w:type="dxa"/>
            <w:tcBorders>
              <w:top w:val="nil"/>
              <w:left w:val="nil"/>
              <w:bottom w:val="nil"/>
              <w:right w:val="nil"/>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p>
        </w:tc>
      </w:tr>
      <w:tr w:rsidR="00127A98" w:rsidRPr="00E85451" w:rsidTr="00127A98">
        <w:trPr>
          <w:trHeight w:val="300"/>
        </w:trPr>
        <w:tc>
          <w:tcPr>
            <w:tcW w:w="1451" w:type="dxa"/>
            <w:tcBorders>
              <w:top w:val="nil"/>
              <w:left w:val="nil"/>
              <w:bottom w:val="nil"/>
              <w:right w:val="nil"/>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p>
        </w:tc>
        <w:tc>
          <w:tcPr>
            <w:tcW w:w="1414" w:type="dxa"/>
            <w:gridSpan w:val="2"/>
            <w:tcBorders>
              <w:top w:val="nil"/>
              <w:left w:val="nil"/>
              <w:bottom w:val="nil"/>
              <w:right w:val="nil"/>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p>
        </w:tc>
        <w:tc>
          <w:tcPr>
            <w:tcW w:w="1413" w:type="dxa"/>
            <w:tcBorders>
              <w:top w:val="nil"/>
              <w:left w:val="nil"/>
              <w:bottom w:val="nil"/>
              <w:right w:val="nil"/>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p>
        </w:tc>
        <w:tc>
          <w:tcPr>
            <w:tcW w:w="1433" w:type="dxa"/>
            <w:tcBorders>
              <w:top w:val="nil"/>
              <w:left w:val="nil"/>
              <w:bottom w:val="nil"/>
              <w:right w:val="nil"/>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p>
        </w:tc>
        <w:tc>
          <w:tcPr>
            <w:tcW w:w="1419" w:type="dxa"/>
            <w:tcBorders>
              <w:top w:val="nil"/>
              <w:left w:val="nil"/>
              <w:bottom w:val="nil"/>
              <w:right w:val="nil"/>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p>
        </w:tc>
        <w:tc>
          <w:tcPr>
            <w:tcW w:w="1418" w:type="dxa"/>
            <w:tcBorders>
              <w:top w:val="nil"/>
              <w:left w:val="nil"/>
              <w:bottom w:val="nil"/>
              <w:right w:val="nil"/>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p>
        </w:tc>
        <w:tc>
          <w:tcPr>
            <w:tcW w:w="1414" w:type="dxa"/>
            <w:tcBorders>
              <w:top w:val="nil"/>
              <w:left w:val="nil"/>
              <w:bottom w:val="nil"/>
              <w:right w:val="nil"/>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p>
        </w:tc>
        <w:tc>
          <w:tcPr>
            <w:tcW w:w="1412" w:type="dxa"/>
            <w:tcBorders>
              <w:top w:val="nil"/>
              <w:left w:val="nil"/>
              <w:bottom w:val="nil"/>
              <w:right w:val="nil"/>
            </w:tcBorders>
            <w:shd w:val="clear" w:color="auto" w:fill="auto"/>
            <w:noWrap/>
            <w:vAlign w:val="bottom"/>
            <w:hideMark/>
          </w:tcPr>
          <w:p w:rsidR="00127A98" w:rsidRPr="00E85451" w:rsidRDefault="00127A98" w:rsidP="00127A98">
            <w:pPr>
              <w:widowControl/>
              <w:rPr>
                <w:rFonts w:ascii="Arial" w:hAnsi="Arial" w:cs="Arial"/>
                <w:color w:val="auto"/>
                <w:sz w:val="22"/>
                <w:szCs w:val="22"/>
                <w:lang w:val="en-GB" w:eastAsia="en-GB"/>
              </w:rPr>
            </w:pPr>
          </w:p>
        </w:tc>
      </w:tr>
    </w:tbl>
    <w:p w:rsidR="00127A98" w:rsidRPr="00E85451" w:rsidRDefault="00127A98">
      <w:pPr>
        <w:tabs>
          <w:tab w:val="left" w:pos="7280"/>
        </w:tabs>
        <w:ind w:right="-540"/>
        <w:rPr>
          <w:rFonts w:ascii="Arial" w:eastAsia="Arial" w:hAnsi="Arial" w:cs="Arial"/>
          <w:color w:val="auto"/>
          <w:sz w:val="22"/>
          <w:szCs w:val="22"/>
          <w:u w:val="single"/>
        </w:rPr>
      </w:pPr>
    </w:p>
    <w:p w:rsidR="00127A98" w:rsidRPr="00E85451" w:rsidRDefault="00127A98">
      <w:pPr>
        <w:rPr>
          <w:rFonts w:ascii="Arial" w:eastAsia="Arial" w:hAnsi="Arial" w:cs="Arial"/>
          <w:color w:val="auto"/>
          <w:sz w:val="22"/>
          <w:szCs w:val="22"/>
          <w:u w:val="single"/>
        </w:rPr>
      </w:pPr>
      <w:r w:rsidRPr="00E85451">
        <w:rPr>
          <w:rFonts w:ascii="Arial" w:eastAsia="Arial" w:hAnsi="Arial" w:cs="Arial"/>
          <w:color w:val="auto"/>
          <w:sz w:val="22"/>
          <w:szCs w:val="22"/>
          <w:u w:val="single"/>
        </w:rPr>
        <w:br w:type="page"/>
      </w:r>
    </w:p>
    <w:p w:rsidR="00C50A3F" w:rsidRPr="00E85451" w:rsidRDefault="00C50A3F">
      <w:pPr>
        <w:tabs>
          <w:tab w:val="left" w:pos="7280"/>
        </w:tabs>
        <w:ind w:right="-540"/>
        <w:rPr>
          <w:rFonts w:ascii="Arial" w:eastAsia="Arial" w:hAnsi="Arial" w:cs="Arial"/>
          <w:color w:val="auto"/>
          <w:sz w:val="22"/>
          <w:szCs w:val="22"/>
          <w:u w:val="single"/>
        </w:rPr>
      </w:pPr>
    </w:p>
    <w:p w:rsidR="00C50A3F" w:rsidRPr="00E85451" w:rsidRDefault="000209DA" w:rsidP="00C50A3F">
      <w:pPr>
        <w:pStyle w:val="NormalWeb"/>
        <w:ind w:right="-541"/>
        <w:rPr>
          <w:rFonts w:ascii="Arial" w:hAnsi="Arial" w:cs="Arial"/>
          <w:color w:val="auto"/>
          <w:sz w:val="22"/>
          <w:szCs w:val="22"/>
        </w:rPr>
      </w:pPr>
      <w:r w:rsidRPr="00E85451">
        <w:rPr>
          <w:rFonts w:ascii="Arial" w:hAnsi="Arial" w:cs="Arial"/>
          <w:color w:val="auto"/>
          <w:sz w:val="22"/>
          <w:szCs w:val="22"/>
          <w:u w:val="single"/>
        </w:rPr>
        <w:t>2</w:t>
      </w:r>
      <w:r w:rsidR="00C50A3F" w:rsidRPr="00E85451">
        <w:rPr>
          <w:rFonts w:ascii="Arial" w:hAnsi="Arial" w:cs="Arial"/>
          <w:color w:val="auto"/>
          <w:sz w:val="22"/>
          <w:szCs w:val="22"/>
          <w:u w:val="single"/>
        </w:rPr>
        <w:t>013.</w:t>
      </w:r>
    </w:p>
    <w:p w:rsidR="00127A98" w:rsidRPr="00E85451" w:rsidRDefault="00127A98" w:rsidP="00C50A3F">
      <w:pPr>
        <w:widowControl/>
        <w:ind w:right="-541"/>
        <w:rPr>
          <w:rFonts w:ascii="Arial" w:hAnsi="Arial" w:cs="Arial"/>
          <w:color w:val="auto"/>
          <w:sz w:val="22"/>
          <w:szCs w:val="22"/>
        </w:rPr>
      </w:pPr>
    </w:p>
    <w:p w:rsidR="002B1B35" w:rsidRPr="00E85451" w:rsidRDefault="002B1B35" w:rsidP="00C50A3F">
      <w:pPr>
        <w:widowControl/>
        <w:ind w:right="-541"/>
        <w:rPr>
          <w:rFonts w:ascii="Arial" w:hAnsi="Arial" w:cs="Arial"/>
          <w:color w:val="auto"/>
          <w:sz w:val="22"/>
          <w:szCs w:val="22"/>
        </w:rPr>
      </w:pPr>
    </w:p>
    <w:tbl>
      <w:tblPr>
        <w:tblW w:w="14960" w:type="dxa"/>
        <w:tblInd w:w="93" w:type="dxa"/>
        <w:tblLayout w:type="fixed"/>
        <w:tblLook w:val="04A0" w:firstRow="1" w:lastRow="0" w:firstColumn="1" w:lastColumn="0" w:noHBand="0" w:noVBand="1"/>
      </w:tblPr>
      <w:tblGrid>
        <w:gridCol w:w="3600"/>
        <w:gridCol w:w="1420"/>
        <w:gridCol w:w="1420"/>
        <w:gridCol w:w="1420"/>
        <w:gridCol w:w="1420"/>
        <w:gridCol w:w="1650"/>
        <w:gridCol w:w="1190"/>
        <w:gridCol w:w="1420"/>
        <w:gridCol w:w="1420"/>
      </w:tblGrid>
      <w:tr w:rsidR="00E85451" w:rsidRPr="00E85451" w:rsidTr="00D61673">
        <w:trPr>
          <w:trHeight w:val="315"/>
        </w:trPr>
        <w:tc>
          <w:tcPr>
            <w:tcW w:w="14960" w:type="dxa"/>
            <w:gridSpan w:val="9"/>
            <w:tcBorders>
              <w:top w:val="nil"/>
              <w:left w:val="nil"/>
              <w:bottom w:val="single" w:sz="4" w:space="0" w:color="auto"/>
              <w:right w:val="nil"/>
            </w:tcBorders>
            <w:shd w:val="clear" w:color="000000" w:fill="FFFFFF"/>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Program Mladi na djelu (Natječajna godina 2013.)</w:t>
            </w:r>
          </w:p>
        </w:tc>
      </w:tr>
      <w:tr w:rsidR="00E85451" w:rsidRPr="00E85451" w:rsidTr="00D61673">
        <w:trPr>
          <w:trHeight w:val="207"/>
        </w:trPr>
        <w:tc>
          <w:tcPr>
            <w:tcW w:w="3600" w:type="dxa"/>
            <w:tcBorders>
              <w:top w:val="nil"/>
              <w:left w:val="single" w:sz="4" w:space="0" w:color="auto"/>
              <w:bottom w:val="single" w:sz="4" w:space="0" w:color="auto"/>
              <w:right w:val="single" w:sz="4" w:space="0" w:color="auto"/>
            </w:tcBorders>
            <w:shd w:val="clear" w:color="000000" w:fill="4BACC6"/>
            <w:vAlign w:val="center"/>
            <w:hideMark/>
          </w:tcPr>
          <w:p w:rsidR="00E433C1" w:rsidRPr="00E85451" w:rsidRDefault="00E433C1" w:rsidP="00E433C1">
            <w:pPr>
              <w:widowControl/>
              <w:jc w:val="center"/>
              <w:rPr>
                <w:rFonts w:ascii="Arial" w:hAnsi="Arial" w:cs="Arial"/>
                <w:color w:val="auto"/>
                <w:sz w:val="22"/>
                <w:szCs w:val="22"/>
              </w:rPr>
            </w:pPr>
            <w:bookmarkStart w:id="42" w:name="RANGE!A2"/>
            <w:r w:rsidRPr="00E85451">
              <w:rPr>
                <w:rFonts w:ascii="Arial" w:hAnsi="Arial" w:cs="Arial"/>
                <w:color w:val="auto"/>
                <w:sz w:val="22"/>
                <w:szCs w:val="22"/>
              </w:rPr>
              <w:t>Aktivnost</w:t>
            </w:r>
            <w:bookmarkEnd w:id="42"/>
          </w:p>
        </w:tc>
        <w:tc>
          <w:tcPr>
            <w:tcW w:w="1420" w:type="dxa"/>
            <w:tcBorders>
              <w:top w:val="nil"/>
              <w:left w:val="nil"/>
              <w:bottom w:val="single" w:sz="4" w:space="0" w:color="auto"/>
              <w:right w:val="single" w:sz="4" w:space="0" w:color="auto"/>
            </w:tcBorders>
            <w:shd w:val="clear" w:color="000000" w:fill="4BACC6"/>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Broj zaprimljenih prijava</w:t>
            </w:r>
          </w:p>
        </w:tc>
        <w:tc>
          <w:tcPr>
            <w:tcW w:w="1420" w:type="dxa"/>
            <w:tcBorders>
              <w:top w:val="nil"/>
              <w:left w:val="nil"/>
              <w:bottom w:val="single" w:sz="4" w:space="0" w:color="auto"/>
              <w:right w:val="single" w:sz="4" w:space="0" w:color="auto"/>
            </w:tcBorders>
            <w:shd w:val="clear" w:color="000000" w:fill="4BACC6"/>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 xml:space="preserve">Broj odobrenh prijava                                </w:t>
            </w:r>
          </w:p>
        </w:tc>
        <w:tc>
          <w:tcPr>
            <w:tcW w:w="1420" w:type="dxa"/>
            <w:tcBorders>
              <w:top w:val="nil"/>
              <w:left w:val="nil"/>
              <w:bottom w:val="single" w:sz="4" w:space="0" w:color="auto"/>
              <w:right w:val="single" w:sz="4" w:space="0" w:color="auto"/>
            </w:tcBorders>
            <w:shd w:val="clear" w:color="000000" w:fill="4BACC6"/>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Inicijalni budžet (Ugovor EK - NA + Amandmani)</w:t>
            </w:r>
          </w:p>
        </w:tc>
        <w:tc>
          <w:tcPr>
            <w:tcW w:w="1420" w:type="dxa"/>
            <w:tcBorders>
              <w:top w:val="nil"/>
              <w:left w:val="nil"/>
              <w:bottom w:val="single" w:sz="4" w:space="0" w:color="auto"/>
              <w:right w:val="single" w:sz="4" w:space="0" w:color="auto"/>
            </w:tcBorders>
            <w:shd w:val="clear" w:color="000000" w:fill="4BACC6"/>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Proračun nakon interne raspodjele</w:t>
            </w:r>
          </w:p>
        </w:tc>
        <w:tc>
          <w:tcPr>
            <w:tcW w:w="1650" w:type="dxa"/>
            <w:tcBorders>
              <w:top w:val="nil"/>
              <w:left w:val="nil"/>
              <w:bottom w:val="single" w:sz="4" w:space="0" w:color="auto"/>
              <w:right w:val="single" w:sz="4" w:space="0" w:color="auto"/>
            </w:tcBorders>
            <w:shd w:val="clear" w:color="000000" w:fill="4BACC6"/>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Ugovoreno</w:t>
            </w:r>
          </w:p>
        </w:tc>
        <w:tc>
          <w:tcPr>
            <w:tcW w:w="1190" w:type="dxa"/>
            <w:tcBorders>
              <w:top w:val="nil"/>
              <w:left w:val="nil"/>
              <w:bottom w:val="single" w:sz="4" w:space="0" w:color="auto"/>
              <w:right w:val="single" w:sz="4" w:space="0" w:color="auto"/>
            </w:tcBorders>
            <w:shd w:val="clear" w:color="000000" w:fill="4BACC6"/>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Realizirana sredstva</w:t>
            </w:r>
          </w:p>
        </w:tc>
        <w:tc>
          <w:tcPr>
            <w:tcW w:w="1420" w:type="dxa"/>
            <w:tcBorders>
              <w:top w:val="nil"/>
              <w:left w:val="nil"/>
              <w:bottom w:val="single" w:sz="4" w:space="0" w:color="auto"/>
              <w:right w:val="single" w:sz="4" w:space="0" w:color="auto"/>
            </w:tcBorders>
            <w:shd w:val="clear" w:color="000000" w:fill="4BACC6"/>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Ugovorenost (%)</w:t>
            </w:r>
          </w:p>
        </w:tc>
        <w:tc>
          <w:tcPr>
            <w:tcW w:w="1420" w:type="dxa"/>
            <w:tcBorders>
              <w:top w:val="nil"/>
              <w:left w:val="nil"/>
              <w:bottom w:val="single" w:sz="4" w:space="0" w:color="auto"/>
              <w:right w:val="single" w:sz="4" w:space="0" w:color="auto"/>
            </w:tcBorders>
            <w:shd w:val="clear" w:color="000000" w:fill="4BACC6"/>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Procjena broja sudionika</w:t>
            </w:r>
          </w:p>
        </w:tc>
      </w:tr>
      <w:tr w:rsidR="00E85451" w:rsidRPr="00E85451" w:rsidTr="00D61673">
        <w:trPr>
          <w:trHeight w:val="207"/>
        </w:trPr>
        <w:tc>
          <w:tcPr>
            <w:tcW w:w="3600" w:type="dxa"/>
            <w:tcBorders>
              <w:top w:val="nil"/>
              <w:left w:val="single" w:sz="4" w:space="0" w:color="auto"/>
              <w:bottom w:val="nil"/>
              <w:right w:val="single" w:sz="4" w:space="0" w:color="auto"/>
            </w:tcBorders>
            <w:shd w:val="clear" w:color="000000" w:fill="FFFFFF"/>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Razmjene mladih</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85</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39</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543.756,00 €</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543.756,00 €</w:t>
            </w:r>
          </w:p>
        </w:tc>
        <w:tc>
          <w:tcPr>
            <w:tcW w:w="16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 xml:space="preserve">            623.295,54 € </w:t>
            </w:r>
          </w:p>
        </w:tc>
        <w:tc>
          <w:tcPr>
            <w:tcW w:w="11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452.060,62</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114,63%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1089</w:t>
            </w:r>
          </w:p>
        </w:tc>
      </w:tr>
      <w:tr w:rsidR="00E85451" w:rsidRPr="00E85451" w:rsidTr="00D61673">
        <w:trPr>
          <w:trHeight w:val="207"/>
        </w:trPr>
        <w:tc>
          <w:tcPr>
            <w:tcW w:w="3600" w:type="dxa"/>
            <w:tcBorders>
              <w:top w:val="nil"/>
              <w:left w:val="single" w:sz="4" w:space="0" w:color="auto"/>
              <w:bottom w:val="single" w:sz="4" w:space="0" w:color="auto"/>
              <w:right w:val="single" w:sz="4" w:space="0" w:color="auto"/>
            </w:tcBorders>
            <w:shd w:val="clear" w:color="000000" w:fill="FFFFFF"/>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 </w:t>
            </w: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650" w:type="dxa"/>
            <w:vMerge/>
            <w:tcBorders>
              <w:top w:val="nil"/>
              <w:left w:val="single" w:sz="4" w:space="0" w:color="auto"/>
              <w:bottom w:val="single" w:sz="4" w:space="0" w:color="000000"/>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r>
      <w:tr w:rsidR="00E85451" w:rsidRPr="00E85451" w:rsidTr="00D61673">
        <w:trPr>
          <w:trHeight w:val="207"/>
        </w:trPr>
        <w:tc>
          <w:tcPr>
            <w:tcW w:w="3600" w:type="dxa"/>
            <w:tcBorders>
              <w:top w:val="nil"/>
              <w:left w:val="single" w:sz="4" w:space="0" w:color="auto"/>
              <w:bottom w:val="nil"/>
              <w:right w:val="single" w:sz="4" w:space="0" w:color="auto"/>
            </w:tcBorders>
            <w:shd w:val="clear" w:color="000000" w:fill="FFFFFF"/>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Inicijative mladih</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109</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43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203.964,00 €</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203.964,00 €</w:t>
            </w:r>
          </w:p>
        </w:tc>
        <w:tc>
          <w:tcPr>
            <w:tcW w:w="1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 xml:space="preserve">            165.778,73 € </w:t>
            </w:r>
          </w:p>
        </w:tc>
        <w:tc>
          <w:tcPr>
            <w:tcW w:w="11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165.121,87 €</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81,28%</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  400</w:t>
            </w:r>
          </w:p>
        </w:tc>
      </w:tr>
      <w:tr w:rsidR="00E85451" w:rsidRPr="00E85451" w:rsidTr="00D61673">
        <w:trPr>
          <w:trHeight w:val="207"/>
        </w:trPr>
        <w:tc>
          <w:tcPr>
            <w:tcW w:w="3600" w:type="dxa"/>
            <w:tcBorders>
              <w:top w:val="nil"/>
              <w:left w:val="single" w:sz="4" w:space="0" w:color="auto"/>
              <w:bottom w:val="single" w:sz="4" w:space="0" w:color="auto"/>
              <w:right w:val="single" w:sz="4" w:space="0" w:color="auto"/>
            </w:tcBorders>
            <w:shd w:val="clear" w:color="000000" w:fill="FFFFFF"/>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 </w:t>
            </w: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65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r>
      <w:tr w:rsidR="00E85451" w:rsidRPr="00E85451" w:rsidTr="00D61673">
        <w:trPr>
          <w:trHeight w:val="253"/>
        </w:trPr>
        <w:tc>
          <w:tcPr>
            <w:tcW w:w="3600" w:type="dxa"/>
            <w:vMerge w:val="restart"/>
            <w:tcBorders>
              <w:top w:val="nil"/>
              <w:left w:val="single" w:sz="4" w:space="0" w:color="auto"/>
              <w:bottom w:val="single" w:sz="4" w:space="0" w:color="000000"/>
              <w:right w:val="single" w:sz="4" w:space="0" w:color="auto"/>
            </w:tcBorders>
            <w:shd w:val="clear" w:color="000000" w:fill="FFFFFF"/>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 xml:space="preserve">Demokratski projekti mladih </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7</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5</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124.092,00 €</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124.092,00 €</w:t>
            </w:r>
          </w:p>
        </w:tc>
        <w:tc>
          <w:tcPr>
            <w:tcW w:w="1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 xml:space="preserve">            107.311,79 € </w:t>
            </w:r>
          </w:p>
        </w:tc>
        <w:tc>
          <w:tcPr>
            <w:tcW w:w="11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45.010,28 €</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86,40%</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  148</w:t>
            </w:r>
          </w:p>
        </w:tc>
      </w:tr>
      <w:tr w:rsidR="00E85451" w:rsidRPr="00E85451" w:rsidTr="00D61673">
        <w:trPr>
          <w:trHeight w:val="253"/>
        </w:trPr>
        <w:tc>
          <w:tcPr>
            <w:tcW w:w="3600" w:type="dxa"/>
            <w:vMerge/>
            <w:tcBorders>
              <w:top w:val="nil"/>
              <w:left w:val="single" w:sz="4" w:space="0" w:color="auto"/>
              <w:bottom w:val="single" w:sz="4" w:space="0" w:color="000000"/>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65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r>
      <w:tr w:rsidR="00E85451" w:rsidRPr="00E85451" w:rsidTr="00D61673">
        <w:trPr>
          <w:trHeight w:val="253"/>
        </w:trPr>
        <w:tc>
          <w:tcPr>
            <w:tcW w:w="3600" w:type="dxa"/>
            <w:vMerge w:val="restart"/>
            <w:tcBorders>
              <w:top w:val="nil"/>
              <w:left w:val="single" w:sz="4" w:space="0" w:color="auto"/>
              <w:bottom w:val="single" w:sz="4" w:space="0" w:color="000000"/>
              <w:right w:val="single" w:sz="4" w:space="0" w:color="auto"/>
            </w:tcBorders>
            <w:shd w:val="clear" w:color="000000" w:fill="FFFFFF"/>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Europska volonterska služba</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33</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26</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856.921,00 €</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789.820,40 €</w:t>
            </w:r>
          </w:p>
        </w:tc>
        <w:tc>
          <w:tcPr>
            <w:tcW w:w="1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 xml:space="preserve">            556.100,66 € </w:t>
            </w:r>
          </w:p>
        </w:tc>
        <w:tc>
          <w:tcPr>
            <w:tcW w:w="11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179.397,26 €</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70,41%</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   86</w:t>
            </w:r>
          </w:p>
        </w:tc>
      </w:tr>
      <w:tr w:rsidR="00E85451" w:rsidRPr="00E85451" w:rsidTr="00D61673">
        <w:trPr>
          <w:trHeight w:val="253"/>
        </w:trPr>
        <w:tc>
          <w:tcPr>
            <w:tcW w:w="3600" w:type="dxa"/>
            <w:vMerge/>
            <w:tcBorders>
              <w:top w:val="nil"/>
              <w:left w:val="single" w:sz="4" w:space="0" w:color="auto"/>
              <w:bottom w:val="single" w:sz="4" w:space="0" w:color="000000"/>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65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r>
      <w:tr w:rsidR="00E85451" w:rsidRPr="00E85451" w:rsidTr="00D61673">
        <w:trPr>
          <w:trHeight w:val="435"/>
        </w:trPr>
        <w:tc>
          <w:tcPr>
            <w:tcW w:w="3600" w:type="dxa"/>
            <w:tcBorders>
              <w:top w:val="nil"/>
              <w:left w:val="single" w:sz="4" w:space="0" w:color="auto"/>
              <w:bottom w:val="nil"/>
              <w:right w:val="single" w:sz="4" w:space="0" w:color="auto"/>
            </w:tcBorders>
            <w:shd w:val="clear" w:color="000000" w:fill="FFFFFF"/>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Europska volonterska služba - Ciklus osposobljavanja i evaluacije</w:t>
            </w:r>
          </w:p>
        </w:tc>
        <w:tc>
          <w:tcPr>
            <w:tcW w:w="1420" w:type="dxa"/>
            <w:tcBorders>
              <w:top w:val="nil"/>
              <w:left w:val="nil"/>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N/A</w:t>
            </w:r>
          </w:p>
        </w:tc>
        <w:tc>
          <w:tcPr>
            <w:tcW w:w="1420" w:type="dxa"/>
            <w:tcBorders>
              <w:top w:val="nil"/>
              <w:left w:val="nil"/>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N/A</w:t>
            </w:r>
          </w:p>
        </w:tc>
        <w:tc>
          <w:tcPr>
            <w:tcW w:w="1420" w:type="dxa"/>
            <w:tcBorders>
              <w:top w:val="nil"/>
              <w:left w:val="nil"/>
              <w:bottom w:val="single" w:sz="4" w:space="0" w:color="auto"/>
              <w:right w:val="single" w:sz="4" w:space="0" w:color="auto"/>
            </w:tcBorders>
            <w:shd w:val="clear" w:color="auto" w:fill="auto"/>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N/A**</w:t>
            </w:r>
          </w:p>
        </w:tc>
        <w:tc>
          <w:tcPr>
            <w:tcW w:w="1420" w:type="dxa"/>
            <w:tcBorders>
              <w:top w:val="nil"/>
              <w:left w:val="nil"/>
              <w:bottom w:val="single" w:sz="4" w:space="0" w:color="auto"/>
              <w:right w:val="single" w:sz="4" w:space="0" w:color="auto"/>
            </w:tcBorders>
            <w:shd w:val="clear" w:color="auto" w:fill="auto"/>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N/A</w:t>
            </w:r>
          </w:p>
        </w:tc>
        <w:tc>
          <w:tcPr>
            <w:tcW w:w="1650" w:type="dxa"/>
            <w:tcBorders>
              <w:top w:val="nil"/>
              <w:left w:val="nil"/>
              <w:bottom w:val="single" w:sz="4" w:space="0" w:color="auto"/>
              <w:right w:val="single" w:sz="4" w:space="0" w:color="auto"/>
            </w:tcBorders>
            <w:shd w:val="clear" w:color="auto" w:fill="auto"/>
            <w:noWrap/>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 xml:space="preserve">               71.111,22 € </w:t>
            </w:r>
          </w:p>
        </w:tc>
        <w:tc>
          <w:tcPr>
            <w:tcW w:w="1190" w:type="dxa"/>
            <w:tcBorders>
              <w:top w:val="nil"/>
              <w:left w:val="nil"/>
              <w:bottom w:val="single" w:sz="4" w:space="0" w:color="auto"/>
              <w:right w:val="single" w:sz="4" w:space="0" w:color="auto"/>
            </w:tcBorders>
            <w:shd w:val="clear" w:color="auto" w:fill="auto"/>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68.421,41 €</w:t>
            </w:r>
          </w:p>
        </w:tc>
        <w:tc>
          <w:tcPr>
            <w:tcW w:w="1420" w:type="dxa"/>
            <w:tcBorders>
              <w:top w:val="nil"/>
              <w:left w:val="nil"/>
              <w:bottom w:val="single" w:sz="4" w:space="0" w:color="auto"/>
              <w:right w:val="single" w:sz="4" w:space="0" w:color="auto"/>
            </w:tcBorders>
            <w:shd w:val="clear" w:color="auto" w:fill="auto"/>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96,22%</w:t>
            </w:r>
          </w:p>
        </w:tc>
        <w:tc>
          <w:tcPr>
            <w:tcW w:w="1420" w:type="dxa"/>
            <w:tcBorders>
              <w:top w:val="nil"/>
              <w:left w:val="nil"/>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139</w:t>
            </w:r>
          </w:p>
        </w:tc>
      </w:tr>
      <w:tr w:rsidR="00E85451" w:rsidRPr="00E85451" w:rsidTr="00D61673">
        <w:trPr>
          <w:trHeight w:val="207"/>
        </w:trPr>
        <w:tc>
          <w:tcPr>
            <w:tcW w:w="3600" w:type="dxa"/>
            <w:tcBorders>
              <w:top w:val="single" w:sz="4" w:space="0" w:color="auto"/>
              <w:left w:val="single" w:sz="4" w:space="0" w:color="auto"/>
              <w:bottom w:val="nil"/>
              <w:right w:val="single" w:sz="4" w:space="0" w:color="auto"/>
            </w:tcBorders>
            <w:shd w:val="clear" w:color="000000" w:fill="FFFFFF"/>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Suradnja sa susjednim partnerskim zemljama</w:t>
            </w:r>
          </w:p>
        </w:tc>
        <w:tc>
          <w:tcPr>
            <w:tcW w:w="1420" w:type="dxa"/>
            <w:tcBorders>
              <w:top w:val="nil"/>
              <w:left w:val="nil"/>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80</w:t>
            </w:r>
          </w:p>
        </w:tc>
        <w:tc>
          <w:tcPr>
            <w:tcW w:w="1420" w:type="dxa"/>
            <w:tcBorders>
              <w:top w:val="nil"/>
              <w:left w:val="nil"/>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26</w:t>
            </w:r>
          </w:p>
        </w:tc>
        <w:tc>
          <w:tcPr>
            <w:tcW w:w="1420" w:type="dxa"/>
            <w:tcBorders>
              <w:top w:val="nil"/>
              <w:left w:val="nil"/>
              <w:bottom w:val="single" w:sz="4" w:space="0" w:color="auto"/>
              <w:right w:val="single" w:sz="4" w:space="0" w:color="auto"/>
            </w:tcBorders>
            <w:shd w:val="clear" w:color="000000" w:fill="FFFFFF"/>
            <w:vAlign w:val="bottom"/>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306.420,00 €</w:t>
            </w:r>
          </w:p>
        </w:tc>
        <w:tc>
          <w:tcPr>
            <w:tcW w:w="1420" w:type="dxa"/>
            <w:tcBorders>
              <w:top w:val="nil"/>
              <w:left w:val="nil"/>
              <w:bottom w:val="single" w:sz="4" w:space="0" w:color="auto"/>
              <w:right w:val="single" w:sz="4" w:space="0" w:color="auto"/>
            </w:tcBorders>
            <w:shd w:val="clear" w:color="000000" w:fill="FFFFFF"/>
            <w:vAlign w:val="bottom"/>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336.320,00 €</w:t>
            </w:r>
          </w:p>
        </w:tc>
        <w:tc>
          <w:tcPr>
            <w:tcW w:w="1650" w:type="dxa"/>
            <w:tcBorders>
              <w:top w:val="nil"/>
              <w:left w:val="nil"/>
              <w:bottom w:val="single" w:sz="4" w:space="0" w:color="auto"/>
              <w:right w:val="single" w:sz="4" w:space="0" w:color="auto"/>
            </w:tcBorders>
            <w:shd w:val="clear" w:color="auto" w:fill="auto"/>
            <w:noWrap/>
            <w:vAlign w:val="bottom"/>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 xml:space="preserve">            366.857,51 € </w:t>
            </w:r>
          </w:p>
        </w:tc>
        <w:tc>
          <w:tcPr>
            <w:tcW w:w="1190" w:type="dxa"/>
            <w:tcBorders>
              <w:top w:val="nil"/>
              <w:left w:val="nil"/>
              <w:bottom w:val="single" w:sz="4" w:space="0" w:color="auto"/>
              <w:right w:val="single" w:sz="4" w:space="0" w:color="auto"/>
            </w:tcBorders>
            <w:shd w:val="clear" w:color="000000" w:fill="FFFFFF"/>
            <w:vAlign w:val="bottom"/>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295.629,26 €</w:t>
            </w:r>
          </w:p>
        </w:tc>
        <w:tc>
          <w:tcPr>
            <w:tcW w:w="1420" w:type="dxa"/>
            <w:tcBorders>
              <w:top w:val="nil"/>
              <w:left w:val="nil"/>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80,58%</w:t>
            </w:r>
          </w:p>
        </w:tc>
        <w:tc>
          <w:tcPr>
            <w:tcW w:w="1420" w:type="dxa"/>
            <w:tcBorders>
              <w:top w:val="nil"/>
              <w:left w:val="nil"/>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 852</w:t>
            </w:r>
          </w:p>
        </w:tc>
      </w:tr>
      <w:tr w:rsidR="00E85451" w:rsidRPr="00E85451" w:rsidTr="00D61673">
        <w:trPr>
          <w:trHeight w:val="207"/>
        </w:trPr>
        <w:tc>
          <w:tcPr>
            <w:tcW w:w="3600" w:type="dxa"/>
            <w:tcBorders>
              <w:top w:val="single" w:sz="4" w:space="0" w:color="auto"/>
              <w:left w:val="single" w:sz="4" w:space="0" w:color="auto"/>
              <w:bottom w:val="nil"/>
              <w:right w:val="single" w:sz="4" w:space="0" w:color="auto"/>
            </w:tcBorders>
            <w:shd w:val="clear" w:color="000000" w:fill="FFFFFF"/>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 xml:space="preserve">Osposobljavanje i umrežavanje </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30</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15</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170.098,00 €</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207.299,60 €</w:t>
            </w:r>
          </w:p>
        </w:tc>
        <w:tc>
          <w:tcPr>
            <w:tcW w:w="16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 xml:space="preserve">            226.286,60 € </w:t>
            </w:r>
          </w:p>
        </w:tc>
        <w:tc>
          <w:tcPr>
            <w:tcW w:w="119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200.756,27 €</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100,00%</w:t>
            </w:r>
          </w:p>
        </w:tc>
        <w:tc>
          <w:tcPr>
            <w:tcW w:w="1420" w:type="dxa"/>
            <w:vMerge w:val="restart"/>
            <w:tcBorders>
              <w:top w:val="nil"/>
              <w:left w:val="single" w:sz="4" w:space="0" w:color="auto"/>
              <w:bottom w:val="single" w:sz="4" w:space="0" w:color="auto"/>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 352</w:t>
            </w:r>
          </w:p>
        </w:tc>
      </w:tr>
      <w:tr w:rsidR="00E85451" w:rsidRPr="00E85451" w:rsidTr="00D61673">
        <w:trPr>
          <w:trHeight w:val="207"/>
        </w:trPr>
        <w:tc>
          <w:tcPr>
            <w:tcW w:w="3600" w:type="dxa"/>
            <w:tcBorders>
              <w:top w:val="nil"/>
              <w:left w:val="single" w:sz="4" w:space="0" w:color="auto"/>
              <w:bottom w:val="single" w:sz="4" w:space="0" w:color="auto"/>
              <w:right w:val="single" w:sz="4" w:space="0" w:color="auto"/>
            </w:tcBorders>
            <w:shd w:val="clear" w:color="000000" w:fill="FFFFFF"/>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 </w:t>
            </w: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65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rsidR="00E433C1" w:rsidRPr="00E85451" w:rsidRDefault="00E433C1" w:rsidP="00E433C1">
            <w:pPr>
              <w:widowControl/>
              <w:rPr>
                <w:rFonts w:ascii="Arial" w:hAnsi="Arial" w:cs="Arial"/>
                <w:color w:val="auto"/>
                <w:sz w:val="22"/>
                <w:szCs w:val="22"/>
              </w:rPr>
            </w:pPr>
          </w:p>
        </w:tc>
      </w:tr>
      <w:tr w:rsidR="00E85451" w:rsidRPr="00E85451" w:rsidTr="00D61673">
        <w:trPr>
          <w:trHeight w:val="207"/>
        </w:trPr>
        <w:tc>
          <w:tcPr>
            <w:tcW w:w="3600" w:type="dxa"/>
            <w:tcBorders>
              <w:top w:val="nil"/>
              <w:left w:val="single" w:sz="4" w:space="0" w:color="auto"/>
              <w:bottom w:val="nil"/>
              <w:right w:val="single" w:sz="4" w:space="0" w:color="auto"/>
            </w:tcBorders>
            <w:shd w:val="clear" w:color="000000" w:fill="FFFFFF"/>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 xml:space="preserve">Sastanci mladih i osoba odgovornih za politike o mladima </w:t>
            </w:r>
          </w:p>
        </w:tc>
        <w:tc>
          <w:tcPr>
            <w:tcW w:w="1420" w:type="dxa"/>
            <w:tcBorders>
              <w:top w:val="nil"/>
              <w:left w:val="nil"/>
              <w:bottom w:val="nil"/>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18</w:t>
            </w:r>
          </w:p>
        </w:tc>
        <w:tc>
          <w:tcPr>
            <w:tcW w:w="1420" w:type="dxa"/>
            <w:tcBorders>
              <w:top w:val="nil"/>
              <w:left w:val="nil"/>
              <w:bottom w:val="nil"/>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13</w:t>
            </w:r>
          </w:p>
        </w:tc>
        <w:tc>
          <w:tcPr>
            <w:tcW w:w="1420" w:type="dxa"/>
            <w:tcBorders>
              <w:top w:val="nil"/>
              <w:left w:val="nil"/>
              <w:bottom w:val="nil"/>
              <w:right w:val="single" w:sz="4" w:space="0" w:color="auto"/>
            </w:tcBorders>
            <w:shd w:val="clear" w:color="000000" w:fill="FFFFFF"/>
            <w:vAlign w:val="bottom"/>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130.135,00 €</w:t>
            </w:r>
          </w:p>
        </w:tc>
        <w:tc>
          <w:tcPr>
            <w:tcW w:w="1420" w:type="dxa"/>
            <w:tcBorders>
              <w:top w:val="nil"/>
              <w:left w:val="nil"/>
              <w:bottom w:val="nil"/>
              <w:right w:val="single" w:sz="4" w:space="0" w:color="auto"/>
            </w:tcBorders>
            <w:shd w:val="clear" w:color="000000" w:fill="FFFFFF"/>
            <w:vAlign w:val="bottom"/>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130.135,00 €</w:t>
            </w:r>
          </w:p>
        </w:tc>
        <w:tc>
          <w:tcPr>
            <w:tcW w:w="1650" w:type="dxa"/>
            <w:tcBorders>
              <w:top w:val="nil"/>
              <w:left w:val="nil"/>
              <w:bottom w:val="nil"/>
              <w:right w:val="single" w:sz="4" w:space="0" w:color="auto"/>
            </w:tcBorders>
            <w:shd w:val="clear" w:color="auto" w:fill="auto"/>
            <w:noWrap/>
            <w:vAlign w:val="bottom"/>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 xml:space="preserve">               99.187,92 € </w:t>
            </w:r>
          </w:p>
        </w:tc>
        <w:tc>
          <w:tcPr>
            <w:tcW w:w="1190" w:type="dxa"/>
            <w:tcBorders>
              <w:top w:val="nil"/>
              <w:left w:val="nil"/>
              <w:bottom w:val="nil"/>
              <w:right w:val="single" w:sz="4" w:space="0" w:color="auto"/>
            </w:tcBorders>
            <w:shd w:val="clear" w:color="000000" w:fill="FFFFFF"/>
            <w:vAlign w:val="bottom"/>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65.584,65 €</w:t>
            </w:r>
          </w:p>
        </w:tc>
        <w:tc>
          <w:tcPr>
            <w:tcW w:w="1420" w:type="dxa"/>
            <w:tcBorders>
              <w:top w:val="nil"/>
              <w:left w:val="nil"/>
              <w:bottom w:val="nil"/>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100,00%</w:t>
            </w:r>
          </w:p>
        </w:tc>
        <w:tc>
          <w:tcPr>
            <w:tcW w:w="1420" w:type="dxa"/>
            <w:tcBorders>
              <w:top w:val="nil"/>
              <w:left w:val="nil"/>
              <w:bottom w:val="nil"/>
              <w:right w:val="single" w:sz="4" w:space="0" w:color="auto"/>
            </w:tcBorders>
            <w:shd w:val="clear" w:color="000000" w:fill="FFFFFF"/>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 814</w:t>
            </w:r>
          </w:p>
        </w:tc>
      </w:tr>
      <w:tr w:rsidR="00E85451" w:rsidRPr="00E85451" w:rsidTr="00D61673">
        <w:trPr>
          <w:trHeight w:val="270"/>
        </w:trPr>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Plan osposobljvanja i suradnje (TCP*)</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N/A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N/A</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109.695,00 €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109.695,00 €</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 xml:space="preserve">               93.272,60 € </w:t>
            </w:r>
          </w:p>
        </w:tc>
        <w:tc>
          <w:tcPr>
            <w:tcW w:w="1190" w:type="dxa"/>
            <w:tcBorders>
              <w:top w:val="single" w:sz="4" w:space="0" w:color="auto"/>
              <w:left w:val="nil"/>
              <w:bottom w:val="single" w:sz="4" w:space="0" w:color="auto"/>
              <w:right w:val="single" w:sz="4" w:space="0" w:color="auto"/>
            </w:tcBorders>
            <w:shd w:val="clear" w:color="auto" w:fill="auto"/>
            <w:vAlign w:val="bottom"/>
            <w:hideMark/>
          </w:tcPr>
          <w:p w:rsidR="00E433C1" w:rsidRPr="00E85451" w:rsidRDefault="00E433C1" w:rsidP="00E433C1">
            <w:pPr>
              <w:widowControl/>
              <w:jc w:val="right"/>
              <w:rPr>
                <w:rFonts w:ascii="Arial" w:hAnsi="Arial" w:cs="Arial"/>
                <w:color w:val="auto"/>
                <w:sz w:val="22"/>
                <w:szCs w:val="22"/>
              </w:rPr>
            </w:pPr>
            <w:r w:rsidRPr="00E85451">
              <w:rPr>
                <w:rFonts w:ascii="Arial" w:hAnsi="Arial" w:cs="Arial"/>
                <w:color w:val="auto"/>
                <w:sz w:val="22"/>
                <w:szCs w:val="22"/>
              </w:rPr>
              <w:t xml:space="preserve">         93.272,60 €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100,00%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433C1" w:rsidRPr="00E85451" w:rsidRDefault="00E433C1" w:rsidP="00E433C1">
            <w:pPr>
              <w:widowControl/>
              <w:jc w:val="center"/>
              <w:rPr>
                <w:rFonts w:ascii="Arial" w:hAnsi="Arial" w:cs="Arial"/>
                <w:color w:val="auto"/>
                <w:sz w:val="22"/>
                <w:szCs w:val="22"/>
              </w:rPr>
            </w:pPr>
            <w:r w:rsidRPr="00E85451">
              <w:rPr>
                <w:rFonts w:ascii="Arial" w:hAnsi="Arial" w:cs="Arial"/>
                <w:color w:val="auto"/>
                <w:sz w:val="22"/>
                <w:szCs w:val="22"/>
              </w:rPr>
              <w:t>313</w:t>
            </w:r>
          </w:p>
        </w:tc>
      </w:tr>
      <w:tr w:rsidR="00E85451" w:rsidRPr="00E85451" w:rsidTr="00D61673">
        <w:trPr>
          <w:trHeight w:val="207"/>
        </w:trPr>
        <w:tc>
          <w:tcPr>
            <w:tcW w:w="3600" w:type="dxa"/>
            <w:tcBorders>
              <w:top w:val="nil"/>
              <w:left w:val="single" w:sz="4" w:space="0" w:color="auto"/>
              <w:bottom w:val="single" w:sz="4" w:space="0" w:color="auto"/>
              <w:right w:val="single" w:sz="4" w:space="0" w:color="auto"/>
            </w:tcBorders>
            <w:shd w:val="clear" w:color="000000" w:fill="D8D8D8"/>
            <w:hideMark/>
          </w:tcPr>
          <w:p w:rsidR="00E433C1" w:rsidRPr="00E85451" w:rsidRDefault="00E433C1" w:rsidP="00E433C1">
            <w:pPr>
              <w:widowControl/>
              <w:jc w:val="center"/>
              <w:rPr>
                <w:rFonts w:ascii="Arial" w:hAnsi="Arial" w:cs="Arial"/>
                <w:b/>
                <w:bCs/>
                <w:color w:val="auto"/>
                <w:sz w:val="22"/>
                <w:szCs w:val="22"/>
              </w:rPr>
            </w:pPr>
            <w:r w:rsidRPr="00E85451">
              <w:rPr>
                <w:rFonts w:ascii="Arial" w:hAnsi="Arial" w:cs="Arial"/>
                <w:b/>
                <w:bCs/>
                <w:color w:val="auto"/>
                <w:sz w:val="22"/>
                <w:szCs w:val="22"/>
              </w:rPr>
              <w:t>Ukupno</w:t>
            </w:r>
          </w:p>
        </w:tc>
        <w:tc>
          <w:tcPr>
            <w:tcW w:w="1420" w:type="dxa"/>
            <w:tcBorders>
              <w:top w:val="nil"/>
              <w:left w:val="nil"/>
              <w:bottom w:val="single" w:sz="4" w:space="0" w:color="auto"/>
              <w:right w:val="single" w:sz="4" w:space="0" w:color="auto"/>
            </w:tcBorders>
            <w:shd w:val="clear" w:color="000000" w:fill="D8D8D8"/>
            <w:vAlign w:val="center"/>
            <w:hideMark/>
          </w:tcPr>
          <w:p w:rsidR="00E433C1" w:rsidRPr="00E85451" w:rsidRDefault="00E433C1" w:rsidP="00E433C1">
            <w:pPr>
              <w:widowControl/>
              <w:jc w:val="center"/>
              <w:rPr>
                <w:rFonts w:ascii="Arial" w:hAnsi="Arial" w:cs="Arial"/>
                <w:b/>
                <w:bCs/>
                <w:color w:val="auto"/>
                <w:sz w:val="22"/>
                <w:szCs w:val="22"/>
              </w:rPr>
            </w:pPr>
            <w:r w:rsidRPr="00E85451">
              <w:rPr>
                <w:rFonts w:ascii="Arial" w:hAnsi="Arial" w:cs="Arial"/>
                <w:b/>
                <w:bCs/>
                <w:color w:val="auto"/>
                <w:sz w:val="22"/>
                <w:szCs w:val="22"/>
              </w:rPr>
              <w:t>362</w:t>
            </w:r>
          </w:p>
        </w:tc>
        <w:tc>
          <w:tcPr>
            <w:tcW w:w="1420" w:type="dxa"/>
            <w:tcBorders>
              <w:top w:val="nil"/>
              <w:left w:val="nil"/>
              <w:bottom w:val="single" w:sz="4" w:space="0" w:color="auto"/>
              <w:right w:val="single" w:sz="4" w:space="0" w:color="auto"/>
            </w:tcBorders>
            <w:shd w:val="clear" w:color="000000" w:fill="D8D8D8"/>
            <w:vAlign w:val="center"/>
            <w:hideMark/>
          </w:tcPr>
          <w:p w:rsidR="00E433C1" w:rsidRPr="00E85451" w:rsidRDefault="00E433C1" w:rsidP="00E433C1">
            <w:pPr>
              <w:widowControl/>
              <w:jc w:val="center"/>
              <w:rPr>
                <w:rFonts w:ascii="Arial" w:hAnsi="Arial" w:cs="Arial"/>
                <w:b/>
                <w:bCs/>
                <w:color w:val="auto"/>
                <w:sz w:val="22"/>
                <w:szCs w:val="22"/>
              </w:rPr>
            </w:pPr>
            <w:r w:rsidRPr="00E85451">
              <w:rPr>
                <w:rFonts w:ascii="Arial" w:hAnsi="Arial" w:cs="Arial"/>
                <w:b/>
                <w:bCs/>
                <w:color w:val="auto"/>
                <w:sz w:val="22"/>
                <w:szCs w:val="22"/>
              </w:rPr>
              <w:t>167</w:t>
            </w:r>
          </w:p>
        </w:tc>
        <w:tc>
          <w:tcPr>
            <w:tcW w:w="1420" w:type="dxa"/>
            <w:tcBorders>
              <w:top w:val="nil"/>
              <w:left w:val="nil"/>
              <w:bottom w:val="single" w:sz="4" w:space="0" w:color="auto"/>
              <w:right w:val="single" w:sz="4" w:space="0" w:color="auto"/>
            </w:tcBorders>
            <w:shd w:val="clear" w:color="000000" w:fill="D8D8D8"/>
            <w:vAlign w:val="center"/>
            <w:hideMark/>
          </w:tcPr>
          <w:p w:rsidR="00E433C1" w:rsidRPr="00E85451" w:rsidRDefault="00E433C1" w:rsidP="00E433C1">
            <w:pPr>
              <w:widowControl/>
              <w:jc w:val="center"/>
              <w:rPr>
                <w:rFonts w:ascii="Arial" w:hAnsi="Arial" w:cs="Arial"/>
                <w:b/>
                <w:bCs/>
                <w:color w:val="auto"/>
                <w:sz w:val="22"/>
                <w:szCs w:val="22"/>
              </w:rPr>
            </w:pPr>
            <w:r w:rsidRPr="00E85451">
              <w:rPr>
                <w:rFonts w:ascii="Arial" w:hAnsi="Arial" w:cs="Arial"/>
                <w:b/>
                <w:bCs/>
                <w:color w:val="auto"/>
                <w:sz w:val="22"/>
                <w:szCs w:val="22"/>
              </w:rPr>
              <w:t>2.445.082,0</w:t>
            </w:r>
            <w:r w:rsidRPr="00E85451">
              <w:rPr>
                <w:rFonts w:ascii="Arial" w:hAnsi="Arial" w:cs="Arial"/>
                <w:b/>
                <w:bCs/>
                <w:color w:val="auto"/>
                <w:sz w:val="22"/>
                <w:szCs w:val="22"/>
              </w:rPr>
              <w:lastRenderedPageBreak/>
              <w:t>0 €</w:t>
            </w:r>
          </w:p>
        </w:tc>
        <w:tc>
          <w:tcPr>
            <w:tcW w:w="1420" w:type="dxa"/>
            <w:tcBorders>
              <w:top w:val="nil"/>
              <w:left w:val="nil"/>
              <w:bottom w:val="single" w:sz="4" w:space="0" w:color="auto"/>
              <w:right w:val="single" w:sz="4" w:space="0" w:color="auto"/>
            </w:tcBorders>
            <w:shd w:val="clear" w:color="000000" w:fill="D8D8D8"/>
            <w:vAlign w:val="center"/>
            <w:hideMark/>
          </w:tcPr>
          <w:p w:rsidR="00E433C1" w:rsidRPr="00E85451" w:rsidRDefault="00E433C1" w:rsidP="00E433C1">
            <w:pPr>
              <w:widowControl/>
              <w:jc w:val="center"/>
              <w:rPr>
                <w:rFonts w:ascii="Arial" w:hAnsi="Arial" w:cs="Arial"/>
                <w:b/>
                <w:bCs/>
                <w:color w:val="auto"/>
                <w:sz w:val="22"/>
                <w:szCs w:val="22"/>
              </w:rPr>
            </w:pPr>
            <w:r w:rsidRPr="00E85451">
              <w:rPr>
                <w:rFonts w:ascii="Arial" w:hAnsi="Arial" w:cs="Arial"/>
                <w:b/>
                <w:bCs/>
                <w:color w:val="auto"/>
                <w:sz w:val="22"/>
                <w:szCs w:val="22"/>
              </w:rPr>
              <w:lastRenderedPageBreak/>
              <w:t>2.445.082,0</w:t>
            </w:r>
            <w:r w:rsidRPr="00E85451">
              <w:rPr>
                <w:rFonts w:ascii="Arial" w:hAnsi="Arial" w:cs="Arial"/>
                <w:b/>
                <w:bCs/>
                <w:color w:val="auto"/>
                <w:sz w:val="22"/>
                <w:szCs w:val="22"/>
              </w:rPr>
              <w:lastRenderedPageBreak/>
              <w:t>0 €</w:t>
            </w:r>
          </w:p>
        </w:tc>
        <w:tc>
          <w:tcPr>
            <w:tcW w:w="1650" w:type="dxa"/>
            <w:tcBorders>
              <w:top w:val="nil"/>
              <w:left w:val="nil"/>
              <w:bottom w:val="single" w:sz="4" w:space="0" w:color="auto"/>
              <w:right w:val="single" w:sz="4" w:space="0" w:color="auto"/>
            </w:tcBorders>
            <w:shd w:val="clear" w:color="000000" w:fill="D8D8D8"/>
            <w:vAlign w:val="center"/>
            <w:hideMark/>
          </w:tcPr>
          <w:p w:rsidR="00E433C1" w:rsidRPr="00E85451" w:rsidRDefault="00E433C1" w:rsidP="00E433C1">
            <w:pPr>
              <w:widowControl/>
              <w:jc w:val="center"/>
              <w:rPr>
                <w:rFonts w:ascii="Arial" w:hAnsi="Arial" w:cs="Arial"/>
                <w:b/>
                <w:bCs/>
                <w:color w:val="auto"/>
                <w:sz w:val="22"/>
                <w:szCs w:val="22"/>
              </w:rPr>
            </w:pPr>
            <w:r w:rsidRPr="00E85451">
              <w:rPr>
                <w:rFonts w:ascii="Arial" w:hAnsi="Arial" w:cs="Arial"/>
                <w:b/>
                <w:bCs/>
                <w:color w:val="auto"/>
                <w:sz w:val="22"/>
                <w:szCs w:val="22"/>
              </w:rPr>
              <w:lastRenderedPageBreak/>
              <w:t xml:space="preserve">2.309.202,57 </w:t>
            </w:r>
            <w:r w:rsidRPr="00E85451">
              <w:rPr>
                <w:rFonts w:ascii="Arial" w:hAnsi="Arial" w:cs="Arial"/>
                <w:b/>
                <w:bCs/>
                <w:color w:val="auto"/>
                <w:sz w:val="22"/>
                <w:szCs w:val="22"/>
              </w:rPr>
              <w:lastRenderedPageBreak/>
              <w:t>€</w:t>
            </w:r>
          </w:p>
        </w:tc>
        <w:tc>
          <w:tcPr>
            <w:tcW w:w="1190" w:type="dxa"/>
            <w:tcBorders>
              <w:top w:val="nil"/>
              <w:left w:val="nil"/>
              <w:bottom w:val="single" w:sz="4" w:space="0" w:color="auto"/>
              <w:right w:val="single" w:sz="4" w:space="0" w:color="auto"/>
            </w:tcBorders>
            <w:shd w:val="clear" w:color="000000" w:fill="D8D8D8"/>
            <w:vAlign w:val="center"/>
            <w:hideMark/>
          </w:tcPr>
          <w:p w:rsidR="00E433C1" w:rsidRPr="00E85451" w:rsidRDefault="00E433C1" w:rsidP="00E433C1">
            <w:pPr>
              <w:widowControl/>
              <w:jc w:val="center"/>
              <w:rPr>
                <w:rFonts w:ascii="Arial" w:hAnsi="Arial" w:cs="Arial"/>
                <w:b/>
                <w:bCs/>
                <w:color w:val="auto"/>
                <w:sz w:val="22"/>
                <w:szCs w:val="22"/>
              </w:rPr>
            </w:pPr>
            <w:r w:rsidRPr="00E85451">
              <w:rPr>
                <w:rFonts w:ascii="Arial" w:hAnsi="Arial" w:cs="Arial"/>
                <w:b/>
                <w:bCs/>
                <w:color w:val="auto"/>
                <w:sz w:val="22"/>
                <w:szCs w:val="22"/>
              </w:rPr>
              <w:lastRenderedPageBreak/>
              <w:t>1.565.25</w:t>
            </w:r>
            <w:r w:rsidRPr="00E85451">
              <w:rPr>
                <w:rFonts w:ascii="Arial" w:hAnsi="Arial" w:cs="Arial"/>
                <w:b/>
                <w:bCs/>
                <w:color w:val="auto"/>
                <w:sz w:val="22"/>
                <w:szCs w:val="22"/>
              </w:rPr>
              <w:lastRenderedPageBreak/>
              <w:t>4,22 €</w:t>
            </w:r>
          </w:p>
        </w:tc>
        <w:tc>
          <w:tcPr>
            <w:tcW w:w="1420" w:type="dxa"/>
            <w:tcBorders>
              <w:top w:val="nil"/>
              <w:left w:val="nil"/>
              <w:bottom w:val="single" w:sz="4" w:space="0" w:color="auto"/>
              <w:right w:val="single" w:sz="4" w:space="0" w:color="auto"/>
            </w:tcBorders>
            <w:shd w:val="clear" w:color="000000" w:fill="D8D8D8"/>
            <w:vAlign w:val="center"/>
            <w:hideMark/>
          </w:tcPr>
          <w:p w:rsidR="00E433C1" w:rsidRPr="00E85451" w:rsidRDefault="00E433C1" w:rsidP="00E433C1">
            <w:pPr>
              <w:widowControl/>
              <w:jc w:val="center"/>
              <w:rPr>
                <w:rFonts w:ascii="Arial" w:hAnsi="Arial" w:cs="Arial"/>
                <w:b/>
                <w:bCs/>
                <w:color w:val="auto"/>
                <w:sz w:val="22"/>
                <w:szCs w:val="22"/>
              </w:rPr>
            </w:pPr>
            <w:r w:rsidRPr="00E85451">
              <w:rPr>
                <w:rFonts w:ascii="Arial" w:hAnsi="Arial" w:cs="Arial"/>
                <w:b/>
                <w:bCs/>
                <w:color w:val="auto"/>
                <w:sz w:val="22"/>
                <w:szCs w:val="22"/>
              </w:rPr>
              <w:lastRenderedPageBreak/>
              <w:t>94,4%</w:t>
            </w:r>
          </w:p>
        </w:tc>
        <w:tc>
          <w:tcPr>
            <w:tcW w:w="1420" w:type="dxa"/>
            <w:tcBorders>
              <w:top w:val="nil"/>
              <w:left w:val="nil"/>
              <w:bottom w:val="single" w:sz="4" w:space="0" w:color="auto"/>
              <w:right w:val="single" w:sz="4" w:space="0" w:color="auto"/>
            </w:tcBorders>
            <w:shd w:val="clear" w:color="000000" w:fill="D8D8D8"/>
            <w:vAlign w:val="center"/>
            <w:hideMark/>
          </w:tcPr>
          <w:p w:rsidR="00E433C1" w:rsidRPr="00E85451" w:rsidRDefault="00E433C1" w:rsidP="00E433C1">
            <w:pPr>
              <w:widowControl/>
              <w:jc w:val="center"/>
              <w:rPr>
                <w:rFonts w:ascii="Arial" w:hAnsi="Arial" w:cs="Arial"/>
                <w:b/>
                <w:bCs/>
                <w:color w:val="auto"/>
                <w:sz w:val="22"/>
                <w:szCs w:val="22"/>
              </w:rPr>
            </w:pPr>
            <w:r w:rsidRPr="00E85451">
              <w:rPr>
                <w:rFonts w:ascii="Arial" w:hAnsi="Arial" w:cs="Arial"/>
                <w:b/>
                <w:bCs/>
                <w:color w:val="auto"/>
                <w:sz w:val="22"/>
                <w:szCs w:val="22"/>
              </w:rPr>
              <w:t>4194</w:t>
            </w:r>
          </w:p>
        </w:tc>
      </w:tr>
      <w:tr w:rsidR="00E85451" w:rsidRPr="00E85451" w:rsidTr="00D61673">
        <w:trPr>
          <w:trHeight w:val="300"/>
        </w:trPr>
        <w:tc>
          <w:tcPr>
            <w:tcW w:w="6440" w:type="dxa"/>
            <w:gridSpan w:val="3"/>
            <w:tcBorders>
              <w:top w:val="nil"/>
              <w:left w:val="nil"/>
              <w:bottom w:val="nil"/>
              <w:right w:val="nil"/>
            </w:tcBorders>
            <w:shd w:val="clear" w:color="000000" w:fill="FFFFFF"/>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lastRenderedPageBreak/>
              <w:t xml:space="preserve">Datum: ožujak, 2015. </w:t>
            </w:r>
          </w:p>
        </w:tc>
        <w:tc>
          <w:tcPr>
            <w:tcW w:w="1420" w:type="dxa"/>
            <w:tcBorders>
              <w:top w:val="nil"/>
              <w:left w:val="nil"/>
              <w:bottom w:val="nil"/>
              <w:right w:val="nil"/>
            </w:tcBorders>
            <w:shd w:val="clear" w:color="000000" w:fill="FFFFFF"/>
            <w:noWrap/>
            <w:vAlign w:val="bottom"/>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 </w:t>
            </w:r>
          </w:p>
        </w:tc>
        <w:tc>
          <w:tcPr>
            <w:tcW w:w="1420" w:type="dxa"/>
            <w:tcBorders>
              <w:top w:val="nil"/>
              <w:left w:val="nil"/>
              <w:bottom w:val="nil"/>
              <w:right w:val="nil"/>
            </w:tcBorders>
            <w:shd w:val="clear" w:color="000000" w:fill="FFFFFF"/>
            <w:noWrap/>
            <w:vAlign w:val="bottom"/>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 </w:t>
            </w:r>
          </w:p>
        </w:tc>
        <w:tc>
          <w:tcPr>
            <w:tcW w:w="1650" w:type="dxa"/>
            <w:tcBorders>
              <w:top w:val="nil"/>
              <w:left w:val="nil"/>
              <w:bottom w:val="nil"/>
              <w:right w:val="nil"/>
            </w:tcBorders>
            <w:shd w:val="clear" w:color="000000" w:fill="FFFFFF"/>
            <w:noWrap/>
            <w:vAlign w:val="bottom"/>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 </w:t>
            </w:r>
          </w:p>
        </w:tc>
        <w:tc>
          <w:tcPr>
            <w:tcW w:w="1190" w:type="dxa"/>
            <w:tcBorders>
              <w:top w:val="nil"/>
              <w:left w:val="nil"/>
              <w:bottom w:val="nil"/>
              <w:right w:val="nil"/>
            </w:tcBorders>
            <w:shd w:val="clear" w:color="000000" w:fill="FFFFFF"/>
            <w:noWrap/>
            <w:vAlign w:val="bottom"/>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 </w:t>
            </w:r>
          </w:p>
        </w:tc>
        <w:tc>
          <w:tcPr>
            <w:tcW w:w="1420" w:type="dxa"/>
            <w:tcBorders>
              <w:top w:val="nil"/>
              <w:left w:val="nil"/>
              <w:bottom w:val="nil"/>
              <w:right w:val="nil"/>
            </w:tcBorders>
            <w:shd w:val="clear" w:color="000000" w:fill="FFFFFF"/>
            <w:noWrap/>
            <w:vAlign w:val="bottom"/>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 </w:t>
            </w:r>
          </w:p>
        </w:tc>
        <w:tc>
          <w:tcPr>
            <w:tcW w:w="1420" w:type="dxa"/>
            <w:tcBorders>
              <w:top w:val="nil"/>
              <w:left w:val="nil"/>
              <w:bottom w:val="nil"/>
              <w:right w:val="nil"/>
            </w:tcBorders>
            <w:shd w:val="clear" w:color="000000" w:fill="FFFFFF"/>
            <w:noWrap/>
            <w:vAlign w:val="bottom"/>
            <w:hideMark/>
          </w:tcPr>
          <w:p w:rsidR="00E433C1" w:rsidRPr="00E85451" w:rsidRDefault="00E433C1" w:rsidP="00E433C1">
            <w:pPr>
              <w:widowControl/>
              <w:rPr>
                <w:rFonts w:ascii="Arial" w:hAnsi="Arial" w:cs="Arial"/>
                <w:color w:val="auto"/>
                <w:sz w:val="22"/>
                <w:szCs w:val="22"/>
              </w:rPr>
            </w:pPr>
            <w:r w:rsidRPr="00E85451">
              <w:rPr>
                <w:rFonts w:ascii="Arial" w:hAnsi="Arial" w:cs="Arial"/>
                <w:color w:val="auto"/>
                <w:sz w:val="22"/>
                <w:szCs w:val="22"/>
              </w:rPr>
              <w:t> </w:t>
            </w:r>
          </w:p>
        </w:tc>
      </w:tr>
    </w:tbl>
    <w:p w:rsidR="002B1B35" w:rsidRPr="00E85451" w:rsidRDefault="002B1B35" w:rsidP="00C50A3F">
      <w:pPr>
        <w:widowControl/>
        <w:ind w:right="-541"/>
        <w:rPr>
          <w:rFonts w:ascii="Arial" w:hAnsi="Arial" w:cs="Arial"/>
          <w:color w:val="auto"/>
          <w:sz w:val="22"/>
          <w:szCs w:val="22"/>
        </w:rPr>
      </w:pPr>
    </w:p>
    <w:p w:rsidR="00387F49" w:rsidRPr="00E85451" w:rsidRDefault="00387F49" w:rsidP="00C50A3F">
      <w:pPr>
        <w:widowControl/>
        <w:ind w:right="-541"/>
        <w:rPr>
          <w:rFonts w:ascii="Arial" w:hAnsi="Arial" w:cs="Arial"/>
          <w:color w:val="auto"/>
          <w:sz w:val="22"/>
          <w:szCs w:val="22"/>
        </w:rPr>
      </w:pPr>
      <w:r w:rsidRPr="00E85451">
        <w:rPr>
          <w:rFonts w:ascii="Arial" w:hAnsi="Arial" w:cs="Arial"/>
          <w:color w:val="auto"/>
          <w:sz w:val="22"/>
          <w:szCs w:val="22"/>
        </w:rPr>
        <w:t>*iskazani postotak ugovorenosti za Razmjene mladih uključuje dodatno ugovorene projekta nakon povrata financijskih sredstava korisnika</w:t>
      </w:r>
    </w:p>
    <w:p w:rsidR="00E433C1" w:rsidRPr="00E85451" w:rsidRDefault="00E433C1" w:rsidP="00C50A3F">
      <w:pPr>
        <w:widowControl/>
        <w:ind w:right="-541"/>
        <w:rPr>
          <w:rFonts w:ascii="Arial" w:hAnsi="Arial" w:cs="Arial"/>
          <w:color w:val="auto"/>
          <w:sz w:val="22"/>
          <w:szCs w:val="22"/>
        </w:rPr>
      </w:pPr>
    </w:p>
    <w:p w:rsidR="00E433C1" w:rsidRPr="00E85451" w:rsidRDefault="00D61673" w:rsidP="00223574">
      <w:pPr>
        <w:widowControl/>
        <w:rPr>
          <w:rFonts w:ascii="Arial" w:hAnsi="Arial" w:cs="Arial"/>
          <w:color w:val="auto"/>
          <w:sz w:val="22"/>
          <w:szCs w:val="22"/>
        </w:rPr>
        <w:sectPr w:rsidR="00E433C1" w:rsidRPr="00E85451" w:rsidSect="00127A98">
          <w:pgSz w:w="16840" w:h="11900" w:orient="landscape"/>
          <w:pgMar w:top="1270" w:right="1440" w:bottom="1712" w:left="1440" w:header="426" w:footer="377" w:gutter="0"/>
          <w:cols w:space="720"/>
          <w:docGrid w:linePitch="326"/>
        </w:sectPr>
      </w:pPr>
      <w:r w:rsidRPr="00E85451">
        <w:rPr>
          <w:rFonts w:ascii="Arial" w:hAnsi="Arial" w:cs="Arial"/>
          <w:color w:val="auto"/>
          <w:sz w:val="22"/>
          <w:szCs w:val="22"/>
        </w:rPr>
        <w:t xml:space="preserve">** EVS - Ciklus osposobljavanja i evaluacije proračun prikazan u </w:t>
      </w:r>
      <w:bookmarkStart w:id="43" w:name="_GoBack"/>
      <w:bookmarkEnd w:id="43"/>
      <w:r w:rsidRPr="00E85451">
        <w:rPr>
          <w:rFonts w:ascii="Arial" w:hAnsi="Arial" w:cs="Arial"/>
          <w:color w:val="auto"/>
          <w:sz w:val="22"/>
          <w:szCs w:val="22"/>
        </w:rPr>
        <w:t>okviru sta</w:t>
      </w:r>
      <w:r w:rsidR="00223574">
        <w:rPr>
          <w:rFonts w:ascii="Arial" w:hAnsi="Arial" w:cs="Arial"/>
          <w:color w:val="auto"/>
          <w:sz w:val="22"/>
          <w:szCs w:val="22"/>
        </w:rPr>
        <w:t>vke Europska volonterska služ</w:t>
      </w:r>
      <w:r w:rsidR="00DF03F0">
        <w:rPr>
          <w:rFonts w:ascii="Arial" w:hAnsi="Arial" w:cs="Arial"/>
          <w:color w:val="auto"/>
          <w:sz w:val="22"/>
          <w:szCs w:val="22"/>
        </w:rPr>
        <w:t>b</w:t>
      </w:r>
      <w:r w:rsidR="00254285">
        <w:rPr>
          <w:rFonts w:ascii="Arial" w:hAnsi="Arial" w:cs="Arial"/>
          <w:color w:val="auto"/>
          <w:sz w:val="22"/>
          <w:szCs w:val="22"/>
        </w:rPr>
        <w:t>a</w:t>
      </w:r>
    </w:p>
    <w:p w:rsidR="00283FAC" w:rsidRPr="00E85451" w:rsidRDefault="00283FAC" w:rsidP="008A2A1E">
      <w:pPr>
        <w:ind w:right="-8"/>
        <w:jc w:val="both"/>
        <w:rPr>
          <w:rFonts w:ascii="Arial" w:hAnsi="Arial" w:cs="Arial"/>
          <w:color w:val="auto"/>
          <w:sz w:val="22"/>
          <w:szCs w:val="22"/>
        </w:rPr>
      </w:pPr>
    </w:p>
    <w:sectPr w:rsidR="00283FAC" w:rsidRPr="00E85451" w:rsidSect="00016D13">
      <w:pgSz w:w="11900" w:h="16840"/>
      <w:pgMar w:top="1440" w:right="1712" w:bottom="1440" w:left="1270" w:header="426" w:footer="3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C63" w:rsidRDefault="00704C63">
      <w:r>
        <w:separator/>
      </w:r>
    </w:p>
  </w:endnote>
  <w:endnote w:type="continuationSeparator" w:id="0">
    <w:p w:rsidR="00704C63" w:rsidRDefault="0070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32" w:rsidRDefault="00AE60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E2" w:rsidRDefault="00AE6032">
    <w:pPr>
      <w:tabs>
        <w:tab w:val="center" w:pos="4320"/>
        <w:tab w:val="right" w:pos="8640"/>
      </w:tabs>
      <w:ind w:left="-1079"/>
      <w:jc w:val="right"/>
    </w:pPr>
    <w:r>
      <w:rPr>
        <w:noProof/>
      </w:rPr>
      <w:drawing>
        <wp:anchor distT="0" distB="0" distL="114300" distR="114300" simplePos="0" relativeHeight="251661312" behindDoc="0" locked="0" layoutInCell="1" allowOverlap="1" wp14:anchorId="4717FBEE" wp14:editId="7E28AF8D">
          <wp:simplePos x="0" y="0"/>
          <wp:positionH relativeFrom="column">
            <wp:posOffset>-545465</wp:posOffset>
          </wp:positionH>
          <wp:positionV relativeFrom="paragraph">
            <wp:posOffset>56515</wp:posOffset>
          </wp:positionV>
          <wp:extent cx="6710045" cy="457200"/>
          <wp:effectExtent l="0" t="0" r="0" b="0"/>
          <wp:wrapSquare wrapText="bothSides"/>
          <wp:docPr id="13" name="Picture 13" descr="ampeu memo_h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peu memo_h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30E2">
      <w:fldChar w:fldCharType="begin"/>
    </w:r>
    <w:r w:rsidR="00F430E2">
      <w:instrText>PAGE</w:instrText>
    </w:r>
    <w:r w:rsidR="00F430E2">
      <w:fldChar w:fldCharType="separate"/>
    </w:r>
    <w:r w:rsidR="00254285">
      <w:rPr>
        <w:noProof/>
      </w:rPr>
      <w:t>6</w:t>
    </w:r>
    <w:r w:rsidR="00F430E2">
      <w:rPr>
        <w:noProof/>
      </w:rPr>
      <w:fldChar w:fldCharType="end"/>
    </w:r>
  </w:p>
  <w:p w:rsidR="00F430E2" w:rsidRDefault="00F430E2">
    <w:pPr>
      <w:tabs>
        <w:tab w:val="center" w:pos="4320"/>
        <w:tab w:val="right" w:pos="8640"/>
      </w:tabs>
      <w:ind w:left="-1079"/>
      <w:jc w:val="right"/>
    </w:pPr>
  </w:p>
  <w:p w:rsidR="00F430E2" w:rsidRDefault="00F430E2">
    <w:pPr>
      <w:tabs>
        <w:tab w:val="center" w:pos="4320"/>
        <w:tab w:val="right" w:pos="8640"/>
      </w:tabs>
      <w:ind w:left="-1079"/>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32" w:rsidRDefault="00AE60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E2" w:rsidRDefault="00F430E2">
    <w:pPr>
      <w:tabs>
        <w:tab w:val="center" w:pos="4320"/>
        <w:tab w:val="right" w:pos="8640"/>
      </w:tabs>
      <w:ind w:left="-1079"/>
      <w:jc w:val="right"/>
    </w:pPr>
    <w:r>
      <w:fldChar w:fldCharType="begin"/>
    </w:r>
    <w:r>
      <w:instrText>PAGE</w:instrText>
    </w:r>
    <w:r>
      <w:fldChar w:fldCharType="separate"/>
    </w:r>
    <w:r w:rsidR="00254285">
      <w:rPr>
        <w:noProof/>
      </w:rPr>
      <w:t>48</w:t>
    </w:r>
    <w:r>
      <w:rPr>
        <w:noProof/>
      </w:rPr>
      <w:fldChar w:fldCharType="end"/>
    </w:r>
  </w:p>
  <w:p w:rsidR="00F430E2" w:rsidRDefault="00F430E2">
    <w:pPr>
      <w:tabs>
        <w:tab w:val="center" w:pos="4320"/>
        <w:tab w:val="right" w:pos="8640"/>
      </w:tabs>
      <w:ind w:left="-1079"/>
      <w:jc w:val="right"/>
    </w:pPr>
  </w:p>
  <w:p w:rsidR="00F430E2" w:rsidRDefault="00F430E2">
    <w:pPr>
      <w:tabs>
        <w:tab w:val="center" w:pos="4320"/>
        <w:tab w:val="right" w:pos="8640"/>
      </w:tabs>
      <w:ind w:left="-1079"/>
      <w:jc w:val="right"/>
    </w:pPr>
    <w:r>
      <w:rPr>
        <w:noProof/>
      </w:rPr>
      <w:drawing>
        <wp:inline distT="0" distB="0" distL="0" distR="0" wp14:anchorId="589C3A0A" wp14:editId="7C6B7AFB">
          <wp:extent cx="5662930" cy="3861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2930" cy="38610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C63" w:rsidRDefault="00704C63">
      <w:r>
        <w:separator/>
      </w:r>
    </w:p>
  </w:footnote>
  <w:footnote w:type="continuationSeparator" w:id="0">
    <w:p w:rsidR="00704C63" w:rsidRDefault="00704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32" w:rsidRDefault="00AE6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E2" w:rsidRDefault="00AE6032">
    <w:pPr>
      <w:tabs>
        <w:tab w:val="center" w:pos="4320"/>
        <w:tab w:val="right" w:pos="8640"/>
      </w:tabs>
      <w:ind w:left="-1079" w:right="-1149"/>
    </w:pPr>
    <w:r>
      <w:rPr>
        <w:noProof/>
      </w:rPr>
      <w:drawing>
        <wp:anchor distT="0" distB="0" distL="114300" distR="114300" simplePos="0" relativeHeight="251659264" behindDoc="0" locked="0" layoutInCell="1" allowOverlap="1" wp14:anchorId="5D816B1C" wp14:editId="48F70217">
          <wp:simplePos x="0" y="0"/>
          <wp:positionH relativeFrom="column">
            <wp:posOffset>-445135</wp:posOffset>
          </wp:positionH>
          <wp:positionV relativeFrom="paragraph">
            <wp:posOffset>-58420</wp:posOffset>
          </wp:positionV>
          <wp:extent cx="6710045" cy="793115"/>
          <wp:effectExtent l="0" t="0" r="0" b="6985"/>
          <wp:wrapSquare wrapText="bothSides"/>
          <wp:docPr id="15" name="Picture 15" descr="ampeu memo_h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mpeu memo_h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0045"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32" w:rsidRDefault="00AE60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0E2" w:rsidRDefault="00F430E2">
    <w:pPr>
      <w:tabs>
        <w:tab w:val="center" w:pos="4320"/>
        <w:tab w:val="right" w:pos="8640"/>
      </w:tabs>
      <w:ind w:left="-1079" w:right="-1149"/>
    </w:pPr>
    <w:r>
      <w:rPr>
        <w:noProof/>
      </w:rPr>
      <w:drawing>
        <wp:inline distT="0" distB="0" distL="0" distR="0" wp14:anchorId="79E3A91C" wp14:editId="2DDB7ECD">
          <wp:extent cx="6962775" cy="81823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8768" cy="8177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771"/>
    <w:multiLevelType w:val="multilevel"/>
    <w:tmpl w:val="0EC056F4"/>
    <w:lvl w:ilvl="0">
      <w:start w:val="1"/>
      <w:numFmt w:val="bullet"/>
      <w:lvlText w:val="●"/>
      <w:lvlJc w:val="left"/>
      <w:pPr>
        <w:ind w:left="720" w:firstLine="360"/>
      </w:pPr>
      <w:rPr>
        <w:rFonts w:ascii="Arial" w:eastAsia="Arial" w:hAnsi="Arial" w:cs="Arial"/>
        <w:sz w:val="20"/>
        <w:vertAlign w:val="baseline"/>
      </w:rPr>
    </w:lvl>
    <w:lvl w:ilvl="1">
      <w:start w:val="1"/>
      <w:numFmt w:val="bullet"/>
      <w:lvlText w:val="o"/>
      <w:lvlJc w:val="left"/>
      <w:pPr>
        <w:ind w:left="1440" w:firstLine="1080"/>
      </w:pPr>
      <w:rPr>
        <w:rFonts w:ascii="Arial" w:eastAsia="Arial" w:hAnsi="Arial" w:cs="Arial"/>
        <w:sz w:val="20"/>
        <w:vertAlign w:val="baseline"/>
      </w:rPr>
    </w:lvl>
    <w:lvl w:ilvl="2">
      <w:start w:val="1"/>
      <w:numFmt w:val="bullet"/>
      <w:lvlText w:val="▪"/>
      <w:lvlJc w:val="left"/>
      <w:pPr>
        <w:ind w:left="2160" w:firstLine="1800"/>
      </w:pPr>
      <w:rPr>
        <w:rFonts w:ascii="Arial" w:eastAsia="Arial" w:hAnsi="Arial" w:cs="Arial"/>
        <w:sz w:val="20"/>
        <w:vertAlign w:val="baseline"/>
      </w:rPr>
    </w:lvl>
    <w:lvl w:ilvl="3">
      <w:start w:val="1"/>
      <w:numFmt w:val="bullet"/>
      <w:lvlText w:val="▪"/>
      <w:lvlJc w:val="left"/>
      <w:pPr>
        <w:ind w:left="2880" w:firstLine="2520"/>
      </w:pPr>
      <w:rPr>
        <w:rFonts w:ascii="Arial" w:eastAsia="Arial" w:hAnsi="Arial" w:cs="Arial"/>
        <w:sz w:val="20"/>
        <w:vertAlign w:val="baseline"/>
      </w:rPr>
    </w:lvl>
    <w:lvl w:ilvl="4">
      <w:start w:val="1"/>
      <w:numFmt w:val="bullet"/>
      <w:lvlText w:val="▪"/>
      <w:lvlJc w:val="left"/>
      <w:pPr>
        <w:ind w:left="3600" w:firstLine="3240"/>
      </w:pPr>
      <w:rPr>
        <w:rFonts w:ascii="Arial" w:eastAsia="Arial" w:hAnsi="Arial" w:cs="Arial"/>
        <w:sz w:val="20"/>
        <w:vertAlign w:val="baseline"/>
      </w:rPr>
    </w:lvl>
    <w:lvl w:ilvl="5">
      <w:start w:val="1"/>
      <w:numFmt w:val="bullet"/>
      <w:lvlText w:val="▪"/>
      <w:lvlJc w:val="left"/>
      <w:pPr>
        <w:ind w:left="4320" w:firstLine="3960"/>
      </w:pPr>
      <w:rPr>
        <w:rFonts w:ascii="Arial" w:eastAsia="Arial" w:hAnsi="Arial" w:cs="Arial"/>
        <w:sz w:val="20"/>
        <w:vertAlign w:val="baseline"/>
      </w:rPr>
    </w:lvl>
    <w:lvl w:ilvl="6">
      <w:start w:val="1"/>
      <w:numFmt w:val="bullet"/>
      <w:lvlText w:val="▪"/>
      <w:lvlJc w:val="left"/>
      <w:pPr>
        <w:ind w:left="5040" w:firstLine="4680"/>
      </w:pPr>
      <w:rPr>
        <w:rFonts w:ascii="Arial" w:eastAsia="Arial" w:hAnsi="Arial" w:cs="Arial"/>
        <w:sz w:val="20"/>
        <w:vertAlign w:val="baseline"/>
      </w:rPr>
    </w:lvl>
    <w:lvl w:ilvl="7">
      <w:start w:val="1"/>
      <w:numFmt w:val="bullet"/>
      <w:lvlText w:val="▪"/>
      <w:lvlJc w:val="left"/>
      <w:pPr>
        <w:ind w:left="5760" w:firstLine="5400"/>
      </w:pPr>
      <w:rPr>
        <w:rFonts w:ascii="Arial" w:eastAsia="Arial" w:hAnsi="Arial" w:cs="Arial"/>
        <w:sz w:val="20"/>
        <w:vertAlign w:val="baseline"/>
      </w:rPr>
    </w:lvl>
    <w:lvl w:ilvl="8">
      <w:start w:val="1"/>
      <w:numFmt w:val="bullet"/>
      <w:lvlText w:val="▪"/>
      <w:lvlJc w:val="left"/>
      <w:pPr>
        <w:ind w:left="6480" w:firstLine="6120"/>
      </w:pPr>
      <w:rPr>
        <w:rFonts w:ascii="Arial" w:eastAsia="Arial" w:hAnsi="Arial" w:cs="Arial"/>
        <w:sz w:val="20"/>
        <w:vertAlign w:val="baseline"/>
      </w:rPr>
    </w:lvl>
  </w:abstractNum>
  <w:abstractNum w:abstractNumId="1">
    <w:nsid w:val="04ED39C9"/>
    <w:multiLevelType w:val="hybridMultilevel"/>
    <w:tmpl w:val="2B441AB0"/>
    <w:lvl w:ilvl="0" w:tplc="71345A38">
      <w:start w:val="2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B8E7326"/>
    <w:multiLevelType w:val="hybridMultilevel"/>
    <w:tmpl w:val="9C888E2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38A57B1"/>
    <w:multiLevelType w:val="hybridMultilevel"/>
    <w:tmpl w:val="75F8091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14263793"/>
    <w:multiLevelType w:val="multilevel"/>
    <w:tmpl w:val="6A2C91FA"/>
    <w:lvl w:ilvl="0">
      <w:numFmt w:val="bullet"/>
      <w:lvlText w:val="-"/>
      <w:lvlJc w:val="left"/>
      <w:pPr>
        <w:ind w:left="2947" w:hanging="359"/>
      </w:pPr>
      <w:rPr>
        <w:rFonts w:ascii="Arial" w:eastAsia="Arial" w:hAnsi="Arial" w:cs="Arial"/>
        <w:vertAlign w:val="baseline"/>
      </w:rPr>
    </w:lvl>
    <w:lvl w:ilvl="1">
      <w:start w:val="1"/>
      <w:numFmt w:val="bullet"/>
      <w:lvlText w:val="o"/>
      <w:lvlJc w:val="left"/>
      <w:pPr>
        <w:ind w:left="4195" w:firstLine="1080"/>
      </w:pPr>
      <w:rPr>
        <w:rFonts w:ascii="Arial" w:eastAsia="Arial" w:hAnsi="Arial" w:cs="Arial"/>
        <w:vertAlign w:val="baseline"/>
      </w:rPr>
    </w:lvl>
    <w:lvl w:ilvl="2">
      <w:start w:val="1"/>
      <w:numFmt w:val="bullet"/>
      <w:lvlText w:val="▪"/>
      <w:lvlJc w:val="left"/>
      <w:pPr>
        <w:ind w:left="4915" w:firstLine="1800"/>
      </w:pPr>
      <w:rPr>
        <w:rFonts w:ascii="Arial" w:eastAsia="Arial" w:hAnsi="Arial" w:cs="Arial"/>
        <w:vertAlign w:val="baseline"/>
      </w:rPr>
    </w:lvl>
    <w:lvl w:ilvl="3">
      <w:start w:val="1"/>
      <w:numFmt w:val="bullet"/>
      <w:lvlText w:val="●"/>
      <w:lvlJc w:val="left"/>
      <w:pPr>
        <w:ind w:left="5635" w:firstLine="2520"/>
      </w:pPr>
      <w:rPr>
        <w:rFonts w:ascii="Arial" w:eastAsia="Arial" w:hAnsi="Arial" w:cs="Arial"/>
        <w:vertAlign w:val="baseline"/>
      </w:rPr>
    </w:lvl>
    <w:lvl w:ilvl="4">
      <w:start w:val="1"/>
      <w:numFmt w:val="bullet"/>
      <w:lvlText w:val="o"/>
      <w:lvlJc w:val="left"/>
      <w:pPr>
        <w:ind w:left="6355" w:firstLine="3240"/>
      </w:pPr>
      <w:rPr>
        <w:rFonts w:ascii="Arial" w:eastAsia="Arial" w:hAnsi="Arial" w:cs="Arial"/>
        <w:vertAlign w:val="baseline"/>
      </w:rPr>
    </w:lvl>
    <w:lvl w:ilvl="5">
      <w:start w:val="1"/>
      <w:numFmt w:val="bullet"/>
      <w:lvlText w:val="▪"/>
      <w:lvlJc w:val="left"/>
      <w:pPr>
        <w:ind w:left="7075" w:firstLine="3960"/>
      </w:pPr>
      <w:rPr>
        <w:rFonts w:ascii="Arial" w:eastAsia="Arial" w:hAnsi="Arial" w:cs="Arial"/>
        <w:vertAlign w:val="baseline"/>
      </w:rPr>
    </w:lvl>
    <w:lvl w:ilvl="6">
      <w:start w:val="1"/>
      <w:numFmt w:val="bullet"/>
      <w:lvlText w:val="●"/>
      <w:lvlJc w:val="left"/>
      <w:pPr>
        <w:ind w:left="7795" w:firstLine="4680"/>
      </w:pPr>
      <w:rPr>
        <w:rFonts w:ascii="Arial" w:eastAsia="Arial" w:hAnsi="Arial" w:cs="Arial"/>
        <w:vertAlign w:val="baseline"/>
      </w:rPr>
    </w:lvl>
    <w:lvl w:ilvl="7">
      <w:start w:val="1"/>
      <w:numFmt w:val="bullet"/>
      <w:lvlText w:val="o"/>
      <w:lvlJc w:val="left"/>
      <w:pPr>
        <w:ind w:left="8515" w:firstLine="5400"/>
      </w:pPr>
      <w:rPr>
        <w:rFonts w:ascii="Arial" w:eastAsia="Arial" w:hAnsi="Arial" w:cs="Arial"/>
        <w:vertAlign w:val="baseline"/>
      </w:rPr>
    </w:lvl>
    <w:lvl w:ilvl="8">
      <w:start w:val="1"/>
      <w:numFmt w:val="bullet"/>
      <w:lvlText w:val="▪"/>
      <w:lvlJc w:val="left"/>
      <w:pPr>
        <w:ind w:left="9235" w:firstLine="6120"/>
      </w:pPr>
      <w:rPr>
        <w:rFonts w:ascii="Arial" w:eastAsia="Arial" w:hAnsi="Arial" w:cs="Arial"/>
        <w:vertAlign w:val="baseline"/>
      </w:rPr>
    </w:lvl>
  </w:abstractNum>
  <w:abstractNum w:abstractNumId="5">
    <w:nsid w:val="1C1178A5"/>
    <w:multiLevelType w:val="hybridMultilevel"/>
    <w:tmpl w:val="1B3C0E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E9F6307"/>
    <w:multiLevelType w:val="multilevel"/>
    <w:tmpl w:val="A2A4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A75A3E"/>
    <w:multiLevelType w:val="hybridMultilevel"/>
    <w:tmpl w:val="943C47B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8">
    <w:nsid w:val="21155C11"/>
    <w:multiLevelType w:val="multilevel"/>
    <w:tmpl w:val="9F18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D740E7"/>
    <w:multiLevelType w:val="multilevel"/>
    <w:tmpl w:val="6B1A1FE0"/>
    <w:lvl w:ilvl="0">
      <w:start w:val="1"/>
      <w:numFmt w:val="decimal"/>
      <w:lvlText w:val="%1."/>
      <w:lvlJc w:val="left"/>
      <w:pPr>
        <w:ind w:left="502" w:firstLine="142"/>
      </w:pPr>
      <w:rPr>
        <w:rFonts w:ascii="Arial" w:eastAsia="Arial" w:hAnsi="Arial" w:cs="Arial"/>
        <w:color w:val="404040" w:themeColor="text1" w:themeTint="BF"/>
        <w:sz w:val="32"/>
        <w:vertAlign w:val="baseline"/>
      </w:rPr>
    </w:lvl>
    <w:lvl w:ilvl="1">
      <w:start w:val="1"/>
      <w:numFmt w:val="lowerLetter"/>
      <w:lvlText w:val="%2."/>
      <w:lvlJc w:val="left"/>
      <w:pPr>
        <w:ind w:left="1222" w:firstLine="862"/>
      </w:pPr>
      <w:rPr>
        <w:rFonts w:ascii="Arial" w:eastAsia="Arial" w:hAnsi="Arial" w:cs="Arial"/>
        <w:vertAlign w:val="baseline"/>
      </w:rPr>
    </w:lvl>
    <w:lvl w:ilvl="2">
      <w:start w:val="1"/>
      <w:numFmt w:val="lowerRoman"/>
      <w:lvlText w:val="%3."/>
      <w:lvlJc w:val="right"/>
      <w:pPr>
        <w:ind w:left="1942" w:firstLine="1762"/>
      </w:pPr>
      <w:rPr>
        <w:rFonts w:ascii="Arial" w:eastAsia="Arial" w:hAnsi="Arial" w:cs="Arial"/>
        <w:vertAlign w:val="baseline"/>
      </w:rPr>
    </w:lvl>
    <w:lvl w:ilvl="3">
      <w:start w:val="1"/>
      <w:numFmt w:val="decimal"/>
      <w:lvlText w:val="%4."/>
      <w:lvlJc w:val="left"/>
      <w:pPr>
        <w:ind w:left="2662" w:firstLine="2302"/>
      </w:pPr>
      <w:rPr>
        <w:rFonts w:ascii="Arial" w:eastAsia="Arial" w:hAnsi="Arial" w:cs="Arial"/>
        <w:vertAlign w:val="baseline"/>
      </w:rPr>
    </w:lvl>
    <w:lvl w:ilvl="4">
      <w:start w:val="1"/>
      <w:numFmt w:val="lowerLetter"/>
      <w:lvlText w:val="%5."/>
      <w:lvlJc w:val="left"/>
      <w:pPr>
        <w:ind w:left="3382" w:firstLine="3022"/>
      </w:pPr>
      <w:rPr>
        <w:rFonts w:ascii="Arial" w:eastAsia="Arial" w:hAnsi="Arial" w:cs="Arial"/>
        <w:vertAlign w:val="baseline"/>
      </w:rPr>
    </w:lvl>
    <w:lvl w:ilvl="5">
      <w:start w:val="1"/>
      <w:numFmt w:val="lowerRoman"/>
      <w:lvlText w:val="%6."/>
      <w:lvlJc w:val="right"/>
      <w:pPr>
        <w:ind w:left="4102" w:firstLine="3922"/>
      </w:pPr>
      <w:rPr>
        <w:rFonts w:ascii="Arial" w:eastAsia="Arial" w:hAnsi="Arial" w:cs="Arial"/>
        <w:vertAlign w:val="baseline"/>
      </w:rPr>
    </w:lvl>
    <w:lvl w:ilvl="6">
      <w:start w:val="1"/>
      <w:numFmt w:val="decimal"/>
      <w:lvlText w:val="%7."/>
      <w:lvlJc w:val="left"/>
      <w:pPr>
        <w:ind w:left="4822" w:firstLine="4462"/>
      </w:pPr>
      <w:rPr>
        <w:rFonts w:ascii="Arial" w:eastAsia="Arial" w:hAnsi="Arial" w:cs="Arial"/>
        <w:vertAlign w:val="baseline"/>
      </w:rPr>
    </w:lvl>
    <w:lvl w:ilvl="7">
      <w:start w:val="1"/>
      <w:numFmt w:val="lowerLetter"/>
      <w:lvlText w:val="%8."/>
      <w:lvlJc w:val="left"/>
      <w:pPr>
        <w:ind w:left="5542" w:firstLine="5182"/>
      </w:pPr>
      <w:rPr>
        <w:rFonts w:ascii="Arial" w:eastAsia="Arial" w:hAnsi="Arial" w:cs="Arial"/>
        <w:vertAlign w:val="baseline"/>
      </w:rPr>
    </w:lvl>
    <w:lvl w:ilvl="8">
      <w:start w:val="1"/>
      <w:numFmt w:val="lowerRoman"/>
      <w:lvlText w:val="%9."/>
      <w:lvlJc w:val="right"/>
      <w:pPr>
        <w:ind w:left="6262" w:firstLine="6082"/>
      </w:pPr>
      <w:rPr>
        <w:rFonts w:ascii="Arial" w:eastAsia="Arial" w:hAnsi="Arial" w:cs="Arial"/>
        <w:vertAlign w:val="baseline"/>
      </w:rPr>
    </w:lvl>
  </w:abstractNum>
  <w:abstractNum w:abstractNumId="10">
    <w:nsid w:val="2DA12244"/>
    <w:multiLevelType w:val="hybridMultilevel"/>
    <w:tmpl w:val="684493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3267D49"/>
    <w:multiLevelType w:val="multilevel"/>
    <w:tmpl w:val="2C4855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004A07"/>
    <w:multiLevelType w:val="hybridMultilevel"/>
    <w:tmpl w:val="E9E225F6"/>
    <w:lvl w:ilvl="0" w:tplc="473C313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B0853CB"/>
    <w:multiLevelType w:val="hybridMultilevel"/>
    <w:tmpl w:val="9926B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0C21C27"/>
    <w:multiLevelType w:val="hybridMultilevel"/>
    <w:tmpl w:val="0A8CFC5A"/>
    <w:lvl w:ilvl="0" w:tplc="73529754">
      <w:start w:val="3"/>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29E6FAD"/>
    <w:multiLevelType w:val="multilevel"/>
    <w:tmpl w:val="366C3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B76CF2"/>
    <w:multiLevelType w:val="hybridMultilevel"/>
    <w:tmpl w:val="B93CB142"/>
    <w:lvl w:ilvl="0" w:tplc="71345A38">
      <w:start w:val="2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7E55819"/>
    <w:multiLevelType w:val="multilevel"/>
    <w:tmpl w:val="0BC0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625588"/>
    <w:multiLevelType w:val="hybridMultilevel"/>
    <w:tmpl w:val="1E8080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2B541FE"/>
    <w:multiLevelType w:val="hybridMultilevel"/>
    <w:tmpl w:val="E03E59F6"/>
    <w:lvl w:ilvl="0" w:tplc="041A0001">
      <w:start w:val="1"/>
      <w:numFmt w:val="bullet"/>
      <w:lvlText w:val=""/>
      <w:lvlJc w:val="left"/>
      <w:pPr>
        <w:ind w:left="774" w:hanging="360"/>
      </w:pPr>
      <w:rPr>
        <w:rFonts w:ascii="Symbol" w:hAnsi="Symbol" w:hint="default"/>
      </w:rPr>
    </w:lvl>
    <w:lvl w:ilvl="1" w:tplc="041A0003">
      <w:start w:val="1"/>
      <w:numFmt w:val="bullet"/>
      <w:lvlText w:val="o"/>
      <w:lvlJc w:val="left"/>
      <w:pPr>
        <w:ind w:left="1494" w:hanging="360"/>
      </w:pPr>
      <w:rPr>
        <w:rFonts w:ascii="Courier New" w:hAnsi="Courier New" w:cs="Courier New" w:hint="default"/>
      </w:rPr>
    </w:lvl>
    <w:lvl w:ilvl="2" w:tplc="041A0005">
      <w:start w:val="1"/>
      <w:numFmt w:val="bullet"/>
      <w:lvlText w:val=""/>
      <w:lvlJc w:val="left"/>
      <w:pPr>
        <w:ind w:left="2214" w:hanging="360"/>
      </w:pPr>
      <w:rPr>
        <w:rFonts w:ascii="Wingdings" w:hAnsi="Wingdings" w:hint="default"/>
      </w:rPr>
    </w:lvl>
    <w:lvl w:ilvl="3" w:tplc="041A0001">
      <w:start w:val="1"/>
      <w:numFmt w:val="bullet"/>
      <w:lvlText w:val=""/>
      <w:lvlJc w:val="left"/>
      <w:pPr>
        <w:ind w:left="2934" w:hanging="360"/>
      </w:pPr>
      <w:rPr>
        <w:rFonts w:ascii="Symbol" w:hAnsi="Symbol" w:hint="default"/>
      </w:rPr>
    </w:lvl>
    <w:lvl w:ilvl="4" w:tplc="041A0003">
      <w:start w:val="1"/>
      <w:numFmt w:val="bullet"/>
      <w:lvlText w:val="o"/>
      <w:lvlJc w:val="left"/>
      <w:pPr>
        <w:ind w:left="3654" w:hanging="360"/>
      </w:pPr>
      <w:rPr>
        <w:rFonts w:ascii="Courier New" w:hAnsi="Courier New" w:cs="Courier New" w:hint="default"/>
      </w:rPr>
    </w:lvl>
    <w:lvl w:ilvl="5" w:tplc="041A0005">
      <w:start w:val="1"/>
      <w:numFmt w:val="bullet"/>
      <w:lvlText w:val=""/>
      <w:lvlJc w:val="left"/>
      <w:pPr>
        <w:ind w:left="4374" w:hanging="360"/>
      </w:pPr>
      <w:rPr>
        <w:rFonts w:ascii="Wingdings" w:hAnsi="Wingdings" w:hint="default"/>
      </w:rPr>
    </w:lvl>
    <w:lvl w:ilvl="6" w:tplc="041A0001">
      <w:start w:val="1"/>
      <w:numFmt w:val="bullet"/>
      <w:lvlText w:val=""/>
      <w:lvlJc w:val="left"/>
      <w:pPr>
        <w:ind w:left="5094" w:hanging="360"/>
      </w:pPr>
      <w:rPr>
        <w:rFonts w:ascii="Symbol" w:hAnsi="Symbol" w:hint="default"/>
      </w:rPr>
    </w:lvl>
    <w:lvl w:ilvl="7" w:tplc="041A0003">
      <w:start w:val="1"/>
      <w:numFmt w:val="bullet"/>
      <w:lvlText w:val="o"/>
      <w:lvlJc w:val="left"/>
      <w:pPr>
        <w:ind w:left="5814" w:hanging="360"/>
      </w:pPr>
      <w:rPr>
        <w:rFonts w:ascii="Courier New" w:hAnsi="Courier New" w:cs="Courier New" w:hint="default"/>
      </w:rPr>
    </w:lvl>
    <w:lvl w:ilvl="8" w:tplc="041A0005">
      <w:start w:val="1"/>
      <w:numFmt w:val="bullet"/>
      <w:lvlText w:val=""/>
      <w:lvlJc w:val="left"/>
      <w:pPr>
        <w:ind w:left="6534" w:hanging="360"/>
      </w:pPr>
      <w:rPr>
        <w:rFonts w:ascii="Wingdings" w:hAnsi="Wingdings" w:hint="default"/>
      </w:rPr>
    </w:lvl>
  </w:abstractNum>
  <w:abstractNum w:abstractNumId="20">
    <w:nsid w:val="58433C7C"/>
    <w:multiLevelType w:val="hybridMultilevel"/>
    <w:tmpl w:val="4F0C14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1">
    <w:nsid w:val="61153166"/>
    <w:multiLevelType w:val="multilevel"/>
    <w:tmpl w:val="8EBC5CC2"/>
    <w:lvl w:ilvl="0">
      <w:start w:val="1"/>
      <w:numFmt w:val="decimal"/>
      <w:lvlText w:val="%1."/>
      <w:lvlJc w:val="left"/>
      <w:pPr>
        <w:ind w:left="720" w:firstLine="360"/>
      </w:pPr>
      <w:rPr>
        <w:rFonts w:ascii="Arial" w:eastAsia="Arial" w:hAnsi="Arial" w:cs="Arial"/>
        <w:vertAlign w:val="baseline"/>
      </w:rPr>
    </w:lvl>
    <w:lvl w:ilvl="1">
      <w:start w:val="1"/>
      <w:numFmt w:val="decimal"/>
      <w:lvlText w:val="%2."/>
      <w:lvlJc w:val="left"/>
      <w:pPr>
        <w:ind w:left="1440" w:firstLine="1080"/>
      </w:pPr>
      <w:rPr>
        <w:rFonts w:ascii="Arial" w:eastAsia="Arial" w:hAnsi="Arial" w:cs="Arial"/>
        <w:vertAlign w:val="baseline"/>
      </w:rPr>
    </w:lvl>
    <w:lvl w:ilvl="2">
      <w:start w:val="1"/>
      <w:numFmt w:val="decimal"/>
      <w:lvlText w:val="%3."/>
      <w:lvlJc w:val="left"/>
      <w:pPr>
        <w:ind w:left="2160" w:firstLine="180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decimal"/>
      <w:lvlText w:val="%5."/>
      <w:lvlJc w:val="left"/>
      <w:pPr>
        <w:ind w:left="3600" w:firstLine="3240"/>
      </w:pPr>
      <w:rPr>
        <w:rFonts w:ascii="Arial" w:eastAsia="Arial" w:hAnsi="Arial" w:cs="Arial"/>
        <w:vertAlign w:val="baseline"/>
      </w:rPr>
    </w:lvl>
    <w:lvl w:ilvl="5">
      <w:start w:val="1"/>
      <w:numFmt w:val="decimal"/>
      <w:lvlText w:val="%6."/>
      <w:lvlJc w:val="left"/>
      <w:pPr>
        <w:ind w:left="4320" w:firstLine="396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decimal"/>
      <w:lvlText w:val="%8."/>
      <w:lvlJc w:val="left"/>
      <w:pPr>
        <w:ind w:left="5760" w:firstLine="5400"/>
      </w:pPr>
      <w:rPr>
        <w:rFonts w:ascii="Arial" w:eastAsia="Arial" w:hAnsi="Arial" w:cs="Arial"/>
        <w:vertAlign w:val="baseline"/>
      </w:rPr>
    </w:lvl>
    <w:lvl w:ilvl="8">
      <w:start w:val="1"/>
      <w:numFmt w:val="decimal"/>
      <w:lvlText w:val="%9."/>
      <w:lvlJc w:val="left"/>
      <w:pPr>
        <w:ind w:left="6480" w:firstLine="6120"/>
      </w:pPr>
      <w:rPr>
        <w:rFonts w:ascii="Arial" w:eastAsia="Arial" w:hAnsi="Arial" w:cs="Arial"/>
        <w:vertAlign w:val="baseline"/>
      </w:rPr>
    </w:lvl>
  </w:abstractNum>
  <w:abstractNum w:abstractNumId="22">
    <w:nsid w:val="62546BC0"/>
    <w:multiLevelType w:val="hybridMultilevel"/>
    <w:tmpl w:val="1A907B48"/>
    <w:lvl w:ilvl="0" w:tplc="05B40DB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2D25D4E"/>
    <w:multiLevelType w:val="hybridMultilevel"/>
    <w:tmpl w:val="EB829418"/>
    <w:lvl w:ilvl="0" w:tplc="22AC830C">
      <w:start w:val="2"/>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89B4D80"/>
    <w:multiLevelType w:val="hybridMultilevel"/>
    <w:tmpl w:val="29FACDBE"/>
    <w:lvl w:ilvl="0" w:tplc="041A0001">
      <w:start w:val="1"/>
      <w:numFmt w:val="bullet"/>
      <w:lvlText w:val=""/>
      <w:lvlJc w:val="left"/>
      <w:pPr>
        <w:ind w:left="1080" w:hanging="720"/>
      </w:pPr>
      <w:rPr>
        <w:rFonts w:ascii="Symbol" w:hAnsi="Symbol"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BE86817"/>
    <w:multiLevelType w:val="hybridMultilevel"/>
    <w:tmpl w:val="2FB0BAFE"/>
    <w:lvl w:ilvl="0" w:tplc="041A0001">
      <w:start w:val="1"/>
      <w:numFmt w:val="bullet"/>
      <w:lvlText w:val=""/>
      <w:lvlJc w:val="left"/>
      <w:pPr>
        <w:ind w:left="3240" w:hanging="360"/>
      </w:pPr>
      <w:rPr>
        <w:rFonts w:ascii="Symbol" w:hAnsi="Symbol" w:hint="default"/>
      </w:rPr>
    </w:lvl>
    <w:lvl w:ilvl="1" w:tplc="041A0003" w:tentative="1">
      <w:start w:val="1"/>
      <w:numFmt w:val="bullet"/>
      <w:lvlText w:val="o"/>
      <w:lvlJc w:val="left"/>
      <w:pPr>
        <w:ind w:left="3960" w:hanging="360"/>
      </w:pPr>
      <w:rPr>
        <w:rFonts w:ascii="Courier New" w:hAnsi="Courier New" w:cs="Courier New" w:hint="default"/>
      </w:rPr>
    </w:lvl>
    <w:lvl w:ilvl="2" w:tplc="041A0005" w:tentative="1">
      <w:start w:val="1"/>
      <w:numFmt w:val="bullet"/>
      <w:lvlText w:val=""/>
      <w:lvlJc w:val="left"/>
      <w:pPr>
        <w:ind w:left="4680" w:hanging="360"/>
      </w:pPr>
      <w:rPr>
        <w:rFonts w:ascii="Wingdings" w:hAnsi="Wingdings" w:hint="default"/>
      </w:rPr>
    </w:lvl>
    <w:lvl w:ilvl="3" w:tplc="041A0001" w:tentative="1">
      <w:start w:val="1"/>
      <w:numFmt w:val="bullet"/>
      <w:lvlText w:val=""/>
      <w:lvlJc w:val="left"/>
      <w:pPr>
        <w:ind w:left="5400" w:hanging="360"/>
      </w:pPr>
      <w:rPr>
        <w:rFonts w:ascii="Symbol" w:hAnsi="Symbol" w:hint="default"/>
      </w:rPr>
    </w:lvl>
    <w:lvl w:ilvl="4" w:tplc="041A0003" w:tentative="1">
      <w:start w:val="1"/>
      <w:numFmt w:val="bullet"/>
      <w:lvlText w:val="o"/>
      <w:lvlJc w:val="left"/>
      <w:pPr>
        <w:ind w:left="6120" w:hanging="360"/>
      </w:pPr>
      <w:rPr>
        <w:rFonts w:ascii="Courier New" w:hAnsi="Courier New" w:cs="Courier New" w:hint="default"/>
      </w:rPr>
    </w:lvl>
    <w:lvl w:ilvl="5" w:tplc="041A0005" w:tentative="1">
      <w:start w:val="1"/>
      <w:numFmt w:val="bullet"/>
      <w:lvlText w:val=""/>
      <w:lvlJc w:val="left"/>
      <w:pPr>
        <w:ind w:left="6840" w:hanging="360"/>
      </w:pPr>
      <w:rPr>
        <w:rFonts w:ascii="Wingdings" w:hAnsi="Wingdings" w:hint="default"/>
      </w:rPr>
    </w:lvl>
    <w:lvl w:ilvl="6" w:tplc="041A0001" w:tentative="1">
      <w:start w:val="1"/>
      <w:numFmt w:val="bullet"/>
      <w:lvlText w:val=""/>
      <w:lvlJc w:val="left"/>
      <w:pPr>
        <w:ind w:left="7560" w:hanging="360"/>
      </w:pPr>
      <w:rPr>
        <w:rFonts w:ascii="Symbol" w:hAnsi="Symbol" w:hint="default"/>
      </w:rPr>
    </w:lvl>
    <w:lvl w:ilvl="7" w:tplc="041A0003" w:tentative="1">
      <w:start w:val="1"/>
      <w:numFmt w:val="bullet"/>
      <w:lvlText w:val="o"/>
      <w:lvlJc w:val="left"/>
      <w:pPr>
        <w:ind w:left="8280" w:hanging="360"/>
      </w:pPr>
      <w:rPr>
        <w:rFonts w:ascii="Courier New" w:hAnsi="Courier New" w:cs="Courier New" w:hint="default"/>
      </w:rPr>
    </w:lvl>
    <w:lvl w:ilvl="8" w:tplc="041A0005" w:tentative="1">
      <w:start w:val="1"/>
      <w:numFmt w:val="bullet"/>
      <w:lvlText w:val=""/>
      <w:lvlJc w:val="left"/>
      <w:pPr>
        <w:ind w:left="9000" w:hanging="360"/>
      </w:pPr>
      <w:rPr>
        <w:rFonts w:ascii="Wingdings" w:hAnsi="Wingdings" w:hint="default"/>
      </w:rPr>
    </w:lvl>
  </w:abstractNum>
  <w:abstractNum w:abstractNumId="26">
    <w:nsid w:val="7C970ABC"/>
    <w:multiLevelType w:val="hybridMultilevel"/>
    <w:tmpl w:val="DDDE3FEA"/>
    <w:lvl w:ilvl="0" w:tplc="61AA3F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D1C711D"/>
    <w:multiLevelType w:val="multilevel"/>
    <w:tmpl w:val="5C8A8F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7FF118F8"/>
    <w:multiLevelType w:val="hybridMultilevel"/>
    <w:tmpl w:val="AD926D20"/>
    <w:lvl w:ilvl="0" w:tplc="6B003D8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21"/>
  </w:num>
  <w:num w:numId="5">
    <w:abstractNumId w:val="27"/>
  </w:num>
  <w:num w:numId="6">
    <w:abstractNumId w:val="6"/>
  </w:num>
  <w:num w:numId="7">
    <w:abstractNumId w:val="8"/>
  </w:num>
  <w:num w:numId="8">
    <w:abstractNumId w:val="11"/>
  </w:num>
  <w:num w:numId="9">
    <w:abstractNumId w:val="15"/>
  </w:num>
  <w:num w:numId="10">
    <w:abstractNumId w:val="17"/>
  </w:num>
  <w:num w:numId="11">
    <w:abstractNumId w:val="23"/>
  </w:num>
  <w:num w:numId="12">
    <w:abstractNumId w:val="2"/>
  </w:num>
  <w:num w:numId="13">
    <w:abstractNumId w:val="16"/>
  </w:num>
  <w:num w:numId="14">
    <w:abstractNumId w:val="28"/>
  </w:num>
  <w:num w:numId="15">
    <w:abstractNumId w:val="5"/>
  </w:num>
  <w:num w:numId="16">
    <w:abstractNumId w:val="19"/>
  </w:num>
  <w:num w:numId="17">
    <w:abstractNumId w:val="20"/>
  </w:num>
  <w:num w:numId="18">
    <w:abstractNumId w:val="7"/>
  </w:num>
  <w:num w:numId="19">
    <w:abstractNumId w:val="25"/>
  </w:num>
  <w:num w:numId="20">
    <w:abstractNumId w:val="3"/>
  </w:num>
  <w:num w:numId="21">
    <w:abstractNumId w:val="3"/>
  </w:num>
  <w:num w:numId="22">
    <w:abstractNumId w:val="26"/>
  </w:num>
  <w:num w:numId="23">
    <w:abstractNumId w:val="24"/>
  </w:num>
  <w:num w:numId="24">
    <w:abstractNumId w:val="18"/>
  </w:num>
  <w:num w:numId="25">
    <w:abstractNumId w:val="10"/>
  </w:num>
  <w:num w:numId="26">
    <w:abstractNumId w:val="12"/>
  </w:num>
  <w:num w:numId="27">
    <w:abstractNumId w:val="22"/>
  </w:num>
  <w:num w:numId="28">
    <w:abstractNumId w:val="1"/>
  </w:num>
  <w:num w:numId="29">
    <w:abstractNumId w:val="1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799"/>
    <w:rsid w:val="00016D13"/>
    <w:rsid w:val="000209DA"/>
    <w:rsid w:val="0002396A"/>
    <w:rsid w:val="00023E1B"/>
    <w:rsid w:val="00035116"/>
    <w:rsid w:val="0003513E"/>
    <w:rsid w:val="00037BC5"/>
    <w:rsid w:val="0004000B"/>
    <w:rsid w:val="00042914"/>
    <w:rsid w:val="00045A28"/>
    <w:rsid w:val="000475FE"/>
    <w:rsid w:val="00056281"/>
    <w:rsid w:val="000575CC"/>
    <w:rsid w:val="000701F6"/>
    <w:rsid w:val="00074A25"/>
    <w:rsid w:val="0007713C"/>
    <w:rsid w:val="00083D15"/>
    <w:rsid w:val="00091F7F"/>
    <w:rsid w:val="00093272"/>
    <w:rsid w:val="000A06B1"/>
    <w:rsid w:val="000C23AB"/>
    <w:rsid w:val="000D54DC"/>
    <w:rsid w:val="000D606C"/>
    <w:rsid w:val="000E69BF"/>
    <w:rsid w:val="000F3158"/>
    <w:rsid w:val="000F3799"/>
    <w:rsid w:val="000F4861"/>
    <w:rsid w:val="000F5113"/>
    <w:rsid w:val="000F5FBA"/>
    <w:rsid w:val="001055C3"/>
    <w:rsid w:val="00105F86"/>
    <w:rsid w:val="0012463B"/>
    <w:rsid w:val="00127A98"/>
    <w:rsid w:val="001415FD"/>
    <w:rsid w:val="00151663"/>
    <w:rsid w:val="0016422E"/>
    <w:rsid w:val="0016700F"/>
    <w:rsid w:val="0017465A"/>
    <w:rsid w:val="00176AEE"/>
    <w:rsid w:val="0018647F"/>
    <w:rsid w:val="00186BA7"/>
    <w:rsid w:val="00192014"/>
    <w:rsid w:val="00194CD9"/>
    <w:rsid w:val="00195B60"/>
    <w:rsid w:val="001A0FF3"/>
    <w:rsid w:val="001B74B5"/>
    <w:rsid w:val="001B768F"/>
    <w:rsid w:val="001C615B"/>
    <w:rsid w:val="001D5F37"/>
    <w:rsid w:val="001D67AF"/>
    <w:rsid w:val="001F05DD"/>
    <w:rsid w:val="00203FFD"/>
    <w:rsid w:val="00223574"/>
    <w:rsid w:val="00240E80"/>
    <w:rsid w:val="00247366"/>
    <w:rsid w:val="00254285"/>
    <w:rsid w:val="00260C3D"/>
    <w:rsid w:val="00261FE3"/>
    <w:rsid w:val="0026475F"/>
    <w:rsid w:val="0027181E"/>
    <w:rsid w:val="00277D71"/>
    <w:rsid w:val="002815D9"/>
    <w:rsid w:val="00282724"/>
    <w:rsid w:val="00283FAC"/>
    <w:rsid w:val="00290C1B"/>
    <w:rsid w:val="00292521"/>
    <w:rsid w:val="002A4D67"/>
    <w:rsid w:val="002A5257"/>
    <w:rsid w:val="002B0BEC"/>
    <w:rsid w:val="002B1B35"/>
    <w:rsid w:val="002B7707"/>
    <w:rsid w:val="002C0E99"/>
    <w:rsid w:val="002D2607"/>
    <w:rsid w:val="002E5653"/>
    <w:rsid w:val="002F2A89"/>
    <w:rsid w:val="002F336B"/>
    <w:rsid w:val="00300C60"/>
    <w:rsid w:val="00301C6D"/>
    <w:rsid w:val="00306C67"/>
    <w:rsid w:val="00311D0A"/>
    <w:rsid w:val="003261EB"/>
    <w:rsid w:val="003504A5"/>
    <w:rsid w:val="0035313C"/>
    <w:rsid w:val="00360C2A"/>
    <w:rsid w:val="00362CE5"/>
    <w:rsid w:val="003707C3"/>
    <w:rsid w:val="00387F49"/>
    <w:rsid w:val="003A22A9"/>
    <w:rsid w:val="003A4110"/>
    <w:rsid w:val="003A6017"/>
    <w:rsid w:val="003E3F9E"/>
    <w:rsid w:val="003F4CBC"/>
    <w:rsid w:val="0040084B"/>
    <w:rsid w:val="00407514"/>
    <w:rsid w:val="004134D6"/>
    <w:rsid w:val="00415AB6"/>
    <w:rsid w:val="00422A46"/>
    <w:rsid w:val="00425989"/>
    <w:rsid w:val="00427E40"/>
    <w:rsid w:val="00432F46"/>
    <w:rsid w:val="00437E80"/>
    <w:rsid w:val="004416D5"/>
    <w:rsid w:val="004500EA"/>
    <w:rsid w:val="00471B42"/>
    <w:rsid w:val="00475B62"/>
    <w:rsid w:val="0048059A"/>
    <w:rsid w:val="004812EC"/>
    <w:rsid w:val="0049391E"/>
    <w:rsid w:val="00497A3C"/>
    <w:rsid w:val="004A40FB"/>
    <w:rsid w:val="004B23C6"/>
    <w:rsid w:val="004B30DE"/>
    <w:rsid w:val="004B3A08"/>
    <w:rsid w:val="004B6D1D"/>
    <w:rsid w:val="004C60BB"/>
    <w:rsid w:val="004C6538"/>
    <w:rsid w:val="004C6FCD"/>
    <w:rsid w:val="004C7549"/>
    <w:rsid w:val="004D3F91"/>
    <w:rsid w:val="004D6902"/>
    <w:rsid w:val="004E00D5"/>
    <w:rsid w:val="004E2A8C"/>
    <w:rsid w:val="004E475A"/>
    <w:rsid w:val="004F2F38"/>
    <w:rsid w:val="00510310"/>
    <w:rsid w:val="005153CB"/>
    <w:rsid w:val="00521887"/>
    <w:rsid w:val="00536330"/>
    <w:rsid w:val="00536646"/>
    <w:rsid w:val="0054732B"/>
    <w:rsid w:val="00560CF3"/>
    <w:rsid w:val="005957DC"/>
    <w:rsid w:val="00596847"/>
    <w:rsid w:val="005A3545"/>
    <w:rsid w:val="005A5DEA"/>
    <w:rsid w:val="005C490D"/>
    <w:rsid w:val="005D246B"/>
    <w:rsid w:val="005D6746"/>
    <w:rsid w:val="005E3AD9"/>
    <w:rsid w:val="005E4D54"/>
    <w:rsid w:val="005F1ABB"/>
    <w:rsid w:val="00601741"/>
    <w:rsid w:val="00615EF4"/>
    <w:rsid w:val="00616029"/>
    <w:rsid w:val="006161DF"/>
    <w:rsid w:val="00620BAA"/>
    <w:rsid w:val="006251B7"/>
    <w:rsid w:val="0063481D"/>
    <w:rsid w:val="00634E78"/>
    <w:rsid w:val="00655FE5"/>
    <w:rsid w:val="00671F7D"/>
    <w:rsid w:val="006724DE"/>
    <w:rsid w:val="00675DBA"/>
    <w:rsid w:val="0068290C"/>
    <w:rsid w:val="006918FE"/>
    <w:rsid w:val="00696C08"/>
    <w:rsid w:val="006A4CA3"/>
    <w:rsid w:val="006A4DD4"/>
    <w:rsid w:val="006A5738"/>
    <w:rsid w:val="006A7435"/>
    <w:rsid w:val="006D6FDA"/>
    <w:rsid w:val="006E210C"/>
    <w:rsid w:val="006E64A4"/>
    <w:rsid w:val="006F4887"/>
    <w:rsid w:val="00702C04"/>
    <w:rsid w:val="007043B7"/>
    <w:rsid w:val="00704C63"/>
    <w:rsid w:val="00715ABA"/>
    <w:rsid w:val="00716294"/>
    <w:rsid w:val="007167B5"/>
    <w:rsid w:val="00722180"/>
    <w:rsid w:val="007230E9"/>
    <w:rsid w:val="007452FF"/>
    <w:rsid w:val="00750D15"/>
    <w:rsid w:val="00752F29"/>
    <w:rsid w:val="007560E6"/>
    <w:rsid w:val="00762154"/>
    <w:rsid w:val="0077070B"/>
    <w:rsid w:val="00772E22"/>
    <w:rsid w:val="00773DFD"/>
    <w:rsid w:val="00777E9D"/>
    <w:rsid w:val="00783E02"/>
    <w:rsid w:val="00785405"/>
    <w:rsid w:val="007A7132"/>
    <w:rsid w:val="007B09CB"/>
    <w:rsid w:val="007B6D5D"/>
    <w:rsid w:val="007C7648"/>
    <w:rsid w:val="007E1D29"/>
    <w:rsid w:val="007E4E76"/>
    <w:rsid w:val="007E5B1F"/>
    <w:rsid w:val="007F11F6"/>
    <w:rsid w:val="007F4866"/>
    <w:rsid w:val="00802E39"/>
    <w:rsid w:val="00806720"/>
    <w:rsid w:val="008236CE"/>
    <w:rsid w:val="0082462A"/>
    <w:rsid w:val="008300F8"/>
    <w:rsid w:val="00847F12"/>
    <w:rsid w:val="00860FAB"/>
    <w:rsid w:val="008614AC"/>
    <w:rsid w:val="008768F1"/>
    <w:rsid w:val="008835A8"/>
    <w:rsid w:val="0089213E"/>
    <w:rsid w:val="008A0460"/>
    <w:rsid w:val="008A1746"/>
    <w:rsid w:val="008A2A1E"/>
    <w:rsid w:val="008B31F8"/>
    <w:rsid w:val="008B5123"/>
    <w:rsid w:val="008C1AD2"/>
    <w:rsid w:val="008C2AC4"/>
    <w:rsid w:val="008D30CE"/>
    <w:rsid w:val="008E2E0E"/>
    <w:rsid w:val="008E34C8"/>
    <w:rsid w:val="008E75B8"/>
    <w:rsid w:val="008F0AD9"/>
    <w:rsid w:val="00904207"/>
    <w:rsid w:val="00912DCE"/>
    <w:rsid w:val="00923EE2"/>
    <w:rsid w:val="00975B2D"/>
    <w:rsid w:val="00983985"/>
    <w:rsid w:val="009858D5"/>
    <w:rsid w:val="00986596"/>
    <w:rsid w:val="009A0FBF"/>
    <w:rsid w:val="009A6A44"/>
    <w:rsid w:val="009B448C"/>
    <w:rsid w:val="009D2E51"/>
    <w:rsid w:val="009E554C"/>
    <w:rsid w:val="00A0338C"/>
    <w:rsid w:val="00A068DC"/>
    <w:rsid w:val="00A12607"/>
    <w:rsid w:val="00A21ADB"/>
    <w:rsid w:val="00A230CB"/>
    <w:rsid w:val="00A2316A"/>
    <w:rsid w:val="00A328CC"/>
    <w:rsid w:val="00A35E05"/>
    <w:rsid w:val="00A475C8"/>
    <w:rsid w:val="00A664C3"/>
    <w:rsid w:val="00A66891"/>
    <w:rsid w:val="00A66E93"/>
    <w:rsid w:val="00A673F6"/>
    <w:rsid w:val="00A73004"/>
    <w:rsid w:val="00A96D5C"/>
    <w:rsid w:val="00A9798A"/>
    <w:rsid w:val="00AB567A"/>
    <w:rsid w:val="00AC109D"/>
    <w:rsid w:val="00AC2AE5"/>
    <w:rsid w:val="00AC47C6"/>
    <w:rsid w:val="00AC5538"/>
    <w:rsid w:val="00AD6BDB"/>
    <w:rsid w:val="00AE0D8E"/>
    <w:rsid w:val="00AE11B4"/>
    <w:rsid w:val="00AE6032"/>
    <w:rsid w:val="00AF070C"/>
    <w:rsid w:val="00B01108"/>
    <w:rsid w:val="00B26B9C"/>
    <w:rsid w:val="00B27540"/>
    <w:rsid w:val="00B44EA8"/>
    <w:rsid w:val="00B518AC"/>
    <w:rsid w:val="00B6336F"/>
    <w:rsid w:val="00B67617"/>
    <w:rsid w:val="00B72F61"/>
    <w:rsid w:val="00B877E5"/>
    <w:rsid w:val="00B93B09"/>
    <w:rsid w:val="00B97010"/>
    <w:rsid w:val="00BA13CD"/>
    <w:rsid w:val="00BA23F6"/>
    <w:rsid w:val="00BA3E76"/>
    <w:rsid w:val="00BA5B80"/>
    <w:rsid w:val="00BA6C9C"/>
    <w:rsid w:val="00BB2A38"/>
    <w:rsid w:val="00BB5DDE"/>
    <w:rsid w:val="00BC5CB2"/>
    <w:rsid w:val="00BD2528"/>
    <w:rsid w:val="00BD5FB6"/>
    <w:rsid w:val="00BD7182"/>
    <w:rsid w:val="00BE542C"/>
    <w:rsid w:val="00C01452"/>
    <w:rsid w:val="00C125EA"/>
    <w:rsid w:val="00C1374E"/>
    <w:rsid w:val="00C15050"/>
    <w:rsid w:val="00C16F59"/>
    <w:rsid w:val="00C17C3D"/>
    <w:rsid w:val="00C253F7"/>
    <w:rsid w:val="00C33DD8"/>
    <w:rsid w:val="00C50A3F"/>
    <w:rsid w:val="00C50BEF"/>
    <w:rsid w:val="00C5512F"/>
    <w:rsid w:val="00C61CC6"/>
    <w:rsid w:val="00C6315C"/>
    <w:rsid w:val="00C72305"/>
    <w:rsid w:val="00C82D32"/>
    <w:rsid w:val="00C93F50"/>
    <w:rsid w:val="00CA6F11"/>
    <w:rsid w:val="00CB643E"/>
    <w:rsid w:val="00CB6D36"/>
    <w:rsid w:val="00CC0ECC"/>
    <w:rsid w:val="00CC3C19"/>
    <w:rsid w:val="00CC4CFD"/>
    <w:rsid w:val="00CD062B"/>
    <w:rsid w:val="00CE70D9"/>
    <w:rsid w:val="00CF440A"/>
    <w:rsid w:val="00CF45B4"/>
    <w:rsid w:val="00CF4FE9"/>
    <w:rsid w:val="00CF7C05"/>
    <w:rsid w:val="00D0103D"/>
    <w:rsid w:val="00D02CFA"/>
    <w:rsid w:val="00D2004E"/>
    <w:rsid w:val="00D20911"/>
    <w:rsid w:val="00D21772"/>
    <w:rsid w:val="00D222C6"/>
    <w:rsid w:val="00D34A80"/>
    <w:rsid w:val="00D375B1"/>
    <w:rsid w:val="00D40B81"/>
    <w:rsid w:val="00D419FF"/>
    <w:rsid w:val="00D41E8F"/>
    <w:rsid w:val="00D443FC"/>
    <w:rsid w:val="00D46A80"/>
    <w:rsid w:val="00D47F9A"/>
    <w:rsid w:val="00D53A02"/>
    <w:rsid w:val="00D61673"/>
    <w:rsid w:val="00D621FF"/>
    <w:rsid w:val="00D62ACF"/>
    <w:rsid w:val="00D8221F"/>
    <w:rsid w:val="00D8555B"/>
    <w:rsid w:val="00D87C6F"/>
    <w:rsid w:val="00D924F2"/>
    <w:rsid w:val="00D96571"/>
    <w:rsid w:val="00DB09CD"/>
    <w:rsid w:val="00DC0B1C"/>
    <w:rsid w:val="00DC317F"/>
    <w:rsid w:val="00DC3796"/>
    <w:rsid w:val="00DD632E"/>
    <w:rsid w:val="00DD754B"/>
    <w:rsid w:val="00DD7C39"/>
    <w:rsid w:val="00DF03F0"/>
    <w:rsid w:val="00DF0530"/>
    <w:rsid w:val="00DF110F"/>
    <w:rsid w:val="00DF4D68"/>
    <w:rsid w:val="00E026F8"/>
    <w:rsid w:val="00E047BF"/>
    <w:rsid w:val="00E1087E"/>
    <w:rsid w:val="00E34A60"/>
    <w:rsid w:val="00E433C1"/>
    <w:rsid w:val="00E449F9"/>
    <w:rsid w:val="00E50171"/>
    <w:rsid w:val="00E5539A"/>
    <w:rsid w:val="00E72EA3"/>
    <w:rsid w:val="00E73836"/>
    <w:rsid w:val="00E73C00"/>
    <w:rsid w:val="00E742C6"/>
    <w:rsid w:val="00E80312"/>
    <w:rsid w:val="00E85451"/>
    <w:rsid w:val="00E91E80"/>
    <w:rsid w:val="00EB1647"/>
    <w:rsid w:val="00EB3D44"/>
    <w:rsid w:val="00EB6B81"/>
    <w:rsid w:val="00ED35AE"/>
    <w:rsid w:val="00ED419D"/>
    <w:rsid w:val="00EF5346"/>
    <w:rsid w:val="00EF5FF4"/>
    <w:rsid w:val="00F0066C"/>
    <w:rsid w:val="00F05E16"/>
    <w:rsid w:val="00F1511F"/>
    <w:rsid w:val="00F2429F"/>
    <w:rsid w:val="00F242F4"/>
    <w:rsid w:val="00F26694"/>
    <w:rsid w:val="00F335AE"/>
    <w:rsid w:val="00F430E2"/>
    <w:rsid w:val="00F53973"/>
    <w:rsid w:val="00F5457C"/>
    <w:rsid w:val="00F57716"/>
    <w:rsid w:val="00F65F3D"/>
    <w:rsid w:val="00F66624"/>
    <w:rsid w:val="00F66FA9"/>
    <w:rsid w:val="00F74C0A"/>
    <w:rsid w:val="00F75678"/>
    <w:rsid w:val="00F85FBF"/>
    <w:rsid w:val="00F90574"/>
    <w:rsid w:val="00F90C85"/>
    <w:rsid w:val="00F97AA6"/>
    <w:rsid w:val="00FA2A05"/>
    <w:rsid w:val="00FB1FEF"/>
    <w:rsid w:val="00FB34D0"/>
    <w:rsid w:val="00FC02C3"/>
    <w:rsid w:val="00FD3541"/>
    <w:rsid w:val="00FD5E9B"/>
    <w:rsid w:val="00FF4A04"/>
    <w:rsid w:val="00FF78CC"/>
    <w:rsid w:val="00FF79C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hr-HR" w:eastAsia="hr-H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40" w:after="60"/>
      <w:outlineLvl w:val="0"/>
    </w:pPr>
    <w:rPr>
      <w:rFonts w:ascii="Cambria" w:eastAsia="Cambria" w:hAnsi="Cambria" w:cs="Cambria"/>
      <w:b/>
      <w:sz w:val="32"/>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46A80"/>
    <w:rPr>
      <w:rFonts w:ascii="Tahoma" w:hAnsi="Tahoma" w:cs="Tahoma"/>
      <w:sz w:val="16"/>
      <w:szCs w:val="16"/>
    </w:rPr>
  </w:style>
  <w:style w:type="character" w:customStyle="1" w:styleId="BalloonTextChar">
    <w:name w:val="Balloon Text Char"/>
    <w:basedOn w:val="DefaultParagraphFont"/>
    <w:link w:val="BalloonText"/>
    <w:uiPriority w:val="99"/>
    <w:semiHidden/>
    <w:rsid w:val="00D46A80"/>
    <w:rPr>
      <w:rFonts w:ascii="Tahoma" w:hAnsi="Tahoma" w:cs="Tahoma"/>
      <w:sz w:val="16"/>
      <w:szCs w:val="16"/>
    </w:rPr>
  </w:style>
  <w:style w:type="character" w:styleId="Hyperlink">
    <w:name w:val="Hyperlink"/>
    <w:basedOn w:val="DefaultParagraphFont"/>
    <w:uiPriority w:val="99"/>
    <w:unhideWhenUsed/>
    <w:rsid w:val="00DC0B1C"/>
    <w:rPr>
      <w:color w:val="0000FF" w:themeColor="hyperlink"/>
      <w:u w:val="single"/>
    </w:rPr>
  </w:style>
  <w:style w:type="paragraph" w:styleId="NormalWeb">
    <w:name w:val="Normal (Web)"/>
    <w:basedOn w:val="Normal"/>
    <w:uiPriority w:val="99"/>
    <w:unhideWhenUsed/>
    <w:rsid w:val="00EF5FF4"/>
    <w:rPr>
      <w:szCs w:val="24"/>
    </w:rPr>
  </w:style>
  <w:style w:type="paragraph" w:styleId="Header">
    <w:name w:val="header"/>
    <w:basedOn w:val="Normal"/>
    <w:link w:val="HeaderChar"/>
    <w:uiPriority w:val="99"/>
    <w:unhideWhenUsed/>
    <w:rsid w:val="00016D13"/>
    <w:pPr>
      <w:tabs>
        <w:tab w:val="center" w:pos="4536"/>
        <w:tab w:val="right" w:pos="9072"/>
      </w:tabs>
    </w:pPr>
  </w:style>
  <w:style w:type="character" w:customStyle="1" w:styleId="HeaderChar">
    <w:name w:val="Header Char"/>
    <w:basedOn w:val="DefaultParagraphFont"/>
    <w:link w:val="Header"/>
    <w:uiPriority w:val="99"/>
    <w:rsid w:val="00016D13"/>
  </w:style>
  <w:style w:type="paragraph" w:styleId="Footer">
    <w:name w:val="footer"/>
    <w:basedOn w:val="Normal"/>
    <w:link w:val="FooterChar"/>
    <w:uiPriority w:val="99"/>
    <w:unhideWhenUsed/>
    <w:rsid w:val="00016D13"/>
    <w:pPr>
      <w:tabs>
        <w:tab w:val="center" w:pos="4536"/>
        <w:tab w:val="right" w:pos="9072"/>
      </w:tabs>
    </w:pPr>
  </w:style>
  <w:style w:type="character" w:customStyle="1" w:styleId="FooterChar">
    <w:name w:val="Footer Char"/>
    <w:basedOn w:val="DefaultParagraphFont"/>
    <w:link w:val="Footer"/>
    <w:uiPriority w:val="99"/>
    <w:rsid w:val="00016D13"/>
  </w:style>
  <w:style w:type="paragraph" w:styleId="FootnoteText">
    <w:name w:val="footnote text"/>
    <w:basedOn w:val="Normal"/>
    <w:link w:val="FootnoteTextChar"/>
    <w:uiPriority w:val="99"/>
    <w:semiHidden/>
    <w:unhideWhenUsed/>
    <w:rsid w:val="00C82D32"/>
    <w:rPr>
      <w:sz w:val="20"/>
    </w:rPr>
  </w:style>
  <w:style w:type="character" w:customStyle="1" w:styleId="FootnoteTextChar">
    <w:name w:val="Footnote Text Char"/>
    <w:basedOn w:val="DefaultParagraphFont"/>
    <w:link w:val="FootnoteText"/>
    <w:uiPriority w:val="99"/>
    <w:semiHidden/>
    <w:rsid w:val="00C82D32"/>
    <w:rPr>
      <w:sz w:val="20"/>
    </w:rPr>
  </w:style>
  <w:style w:type="character" w:styleId="FootnoteReference">
    <w:name w:val="footnote reference"/>
    <w:basedOn w:val="DefaultParagraphFont"/>
    <w:uiPriority w:val="99"/>
    <w:semiHidden/>
    <w:unhideWhenUsed/>
    <w:rsid w:val="00C82D32"/>
    <w:rPr>
      <w:vertAlign w:val="superscript"/>
    </w:rPr>
  </w:style>
  <w:style w:type="paragraph" w:styleId="ListParagraph">
    <w:name w:val="List Paragraph"/>
    <w:basedOn w:val="Normal"/>
    <w:uiPriority w:val="34"/>
    <w:qFormat/>
    <w:rsid w:val="00306C67"/>
    <w:pPr>
      <w:ind w:left="720"/>
      <w:contextualSpacing/>
    </w:pPr>
  </w:style>
  <w:style w:type="paragraph" w:customStyle="1" w:styleId="Default">
    <w:name w:val="Default"/>
    <w:rsid w:val="008C1AD2"/>
    <w:pPr>
      <w:widowControl/>
      <w:autoSpaceDE w:val="0"/>
      <w:autoSpaceDN w:val="0"/>
      <w:adjustRightInd w:val="0"/>
    </w:pPr>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2D2607"/>
    <w:rPr>
      <w:b/>
      <w:bCs/>
    </w:rPr>
  </w:style>
  <w:style w:type="character" w:customStyle="1" w:styleId="CommentSubjectChar">
    <w:name w:val="Comment Subject Char"/>
    <w:basedOn w:val="CommentTextChar"/>
    <w:link w:val="CommentSubject"/>
    <w:uiPriority w:val="99"/>
    <w:semiHidden/>
    <w:rsid w:val="002D2607"/>
    <w:rPr>
      <w:b/>
      <w:bCs/>
      <w:sz w:val="20"/>
    </w:rPr>
  </w:style>
  <w:style w:type="character" w:customStyle="1" w:styleId="st">
    <w:name w:val="st"/>
    <w:basedOn w:val="DefaultParagraphFont"/>
    <w:rsid w:val="00773DFD"/>
  </w:style>
  <w:style w:type="paragraph" w:styleId="Revision">
    <w:name w:val="Revision"/>
    <w:hidden/>
    <w:uiPriority w:val="99"/>
    <w:semiHidden/>
    <w:rsid w:val="002E5653"/>
    <w:pPr>
      <w:widowControl/>
    </w:pPr>
  </w:style>
  <w:style w:type="paragraph" w:styleId="TOCHeading">
    <w:name w:val="TOC Heading"/>
    <w:basedOn w:val="Heading1"/>
    <w:next w:val="Normal"/>
    <w:uiPriority w:val="39"/>
    <w:semiHidden/>
    <w:unhideWhenUsed/>
    <w:qFormat/>
    <w:rsid w:val="00601741"/>
    <w:pPr>
      <w:keepNext/>
      <w:keepLines/>
      <w:widowControl/>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601741"/>
    <w:pPr>
      <w:spacing w:after="100"/>
    </w:pPr>
  </w:style>
  <w:style w:type="paragraph" w:styleId="TOC2">
    <w:name w:val="toc 2"/>
    <w:basedOn w:val="Normal"/>
    <w:next w:val="Normal"/>
    <w:autoRedefine/>
    <w:uiPriority w:val="39"/>
    <w:unhideWhenUsed/>
    <w:rsid w:val="00601741"/>
    <w:pPr>
      <w:spacing w:after="100"/>
      <w:ind w:left="240"/>
    </w:pPr>
  </w:style>
  <w:style w:type="paragraph" w:styleId="TOC3">
    <w:name w:val="toc 3"/>
    <w:basedOn w:val="Normal"/>
    <w:next w:val="Normal"/>
    <w:autoRedefine/>
    <w:uiPriority w:val="39"/>
    <w:unhideWhenUsed/>
    <w:rsid w:val="00D20911"/>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hr-HR" w:eastAsia="hr-H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240" w:after="60"/>
      <w:outlineLvl w:val="0"/>
    </w:pPr>
    <w:rPr>
      <w:rFonts w:ascii="Cambria" w:eastAsia="Cambria" w:hAnsi="Cambria" w:cs="Cambria"/>
      <w:b/>
      <w:sz w:val="32"/>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46A80"/>
    <w:rPr>
      <w:rFonts w:ascii="Tahoma" w:hAnsi="Tahoma" w:cs="Tahoma"/>
      <w:sz w:val="16"/>
      <w:szCs w:val="16"/>
    </w:rPr>
  </w:style>
  <w:style w:type="character" w:customStyle="1" w:styleId="BalloonTextChar">
    <w:name w:val="Balloon Text Char"/>
    <w:basedOn w:val="DefaultParagraphFont"/>
    <w:link w:val="BalloonText"/>
    <w:uiPriority w:val="99"/>
    <w:semiHidden/>
    <w:rsid w:val="00D46A80"/>
    <w:rPr>
      <w:rFonts w:ascii="Tahoma" w:hAnsi="Tahoma" w:cs="Tahoma"/>
      <w:sz w:val="16"/>
      <w:szCs w:val="16"/>
    </w:rPr>
  </w:style>
  <w:style w:type="character" w:styleId="Hyperlink">
    <w:name w:val="Hyperlink"/>
    <w:basedOn w:val="DefaultParagraphFont"/>
    <w:uiPriority w:val="99"/>
    <w:unhideWhenUsed/>
    <w:rsid w:val="00DC0B1C"/>
    <w:rPr>
      <w:color w:val="0000FF" w:themeColor="hyperlink"/>
      <w:u w:val="single"/>
    </w:rPr>
  </w:style>
  <w:style w:type="paragraph" w:styleId="NormalWeb">
    <w:name w:val="Normal (Web)"/>
    <w:basedOn w:val="Normal"/>
    <w:uiPriority w:val="99"/>
    <w:unhideWhenUsed/>
    <w:rsid w:val="00EF5FF4"/>
    <w:rPr>
      <w:szCs w:val="24"/>
    </w:rPr>
  </w:style>
  <w:style w:type="paragraph" w:styleId="Header">
    <w:name w:val="header"/>
    <w:basedOn w:val="Normal"/>
    <w:link w:val="HeaderChar"/>
    <w:uiPriority w:val="99"/>
    <w:unhideWhenUsed/>
    <w:rsid w:val="00016D13"/>
    <w:pPr>
      <w:tabs>
        <w:tab w:val="center" w:pos="4536"/>
        <w:tab w:val="right" w:pos="9072"/>
      </w:tabs>
    </w:pPr>
  </w:style>
  <w:style w:type="character" w:customStyle="1" w:styleId="HeaderChar">
    <w:name w:val="Header Char"/>
    <w:basedOn w:val="DefaultParagraphFont"/>
    <w:link w:val="Header"/>
    <w:uiPriority w:val="99"/>
    <w:rsid w:val="00016D13"/>
  </w:style>
  <w:style w:type="paragraph" w:styleId="Footer">
    <w:name w:val="footer"/>
    <w:basedOn w:val="Normal"/>
    <w:link w:val="FooterChar"/>
    <w:uiPriority w:val="99"/>
    <w:unhideWhenUsed/>
    <w:rsid w:val="00016D13"/>
    <w:pPr>
      <w:tabs>
        <w:tab w:val="center" w:pos="4536"/>
        <w:tab w:val="right" w:pos="9072"/>
      </w:tabs>
    </w:pPr>
  </w:style>
  <w:style w:type="character" w:customStyle="1" w:styleId="FooterChar">
    <w:name w:val="Footer Char"/>
    <w:basedOn w:val="DefaultParagraphFont"/>
    <w:link w:val="Footer"/>
    <w:uiPriority w:val="99"/>
    <w:rsid w:val="00016D13"/>
  </w:style>
  <w:style w:type="paragraph" w:styleId="FootnoteText">
    <w:name w:val="footnote text"/>
    <w:basedOn w:val="Normal"/>
    <w:link w:val="FootnoteTextChar"/>
    <w:uiPriority w:val="99"/>
    <w:semiHidden/>
    <w:unhideWhenUsed/>
    <w:rsid w:val="00C82D32"/>
    <w:rPr>
      <w:sz w:val="20"/>
    </w:rPr>
  </w:style>
  <w:style w:type="character" w:customStyle="1" w:styleId="FootnoteTextChar">
    <w:name w:val="Footnote Text Char"/>
    <w:basedOn w:val="DefaultParagraphFont"/>
    <w:link w:val="FootnoteText"/>
    <w:uiPriority w:val="99"/>
    <w:semiHidden/>
    <w:rsid w:val="00C82D32"/>
    <w:rPr>
      <w:sz w:val="20"/>
    </w:rPr>
  </w:style>
  <w:style w:type="character" w:styleId="FootnoteReference">
    <w:name w:val="footnote reference"/>
    <w:basedOn w:val="DefaultParagraphFont"/>
    <w:uiPriority w:val="99"/>
    <w:semiHidden/>
    <w:unhideWhenUsed/>
    <w:rsid w:val="00C82D32"/>
    <w:rPr>
      <w:vertAlign w:val="superscript"/>
    </w:rPr>
  </w:style>
  <w:style w:type="paragraph" w:styleId="ListParagraph">
    <w:name w:val="List Paragraph"/>
    <w:basedOn w:val="Normal"/>
    <w:uiPriority w:val="34"/>
    <w:qFormat/>
    <w:rsid w:val="00306C67"/>
    <w:pPr>
      <w:ind w:left="720"/>
      <w:contextualSpacing/>
    </w:pPr>
  </w:style>
  <w:style w:type="paragraph" w:customStyle="1" w:styleId="Default">
    <w:name w:val="Default"/>
    <w:rsid w:val="008C1AD2"/>
    <w:pPr>
      <w:widowControl/>
      <w:autoSpaceDE w:val="0"/>
      <w:autoSpaceDN w:val="0"/>
      <w:adjustRightInd w:val="0"/>
    </w:pPr>
    <w:rPr>
      <w:rFonts w:ascii="Arial" w:hAnsi="Arial" w:cs="Arial"/>
      <w:szCs w:val="24"/>
    </w:rPr>
  </w:style>
  <w:style w:type="paragraph" w:styleId="CommentSubject">
    <w:name w:val="annotation subject"/>
    <w:basedOn w:val="CommentText"/>
    <w:next w:val="CommentText"/>
    <w:link w:val="CommentSubjectChar"/>
    <w:uiPriority w:val="99"/>
    <w:semiHidden/>
    <w:unhideWhenUsed/>
    <w:rsid w:val="002D2607"/>
    <w:rPr>
      <w:b/>
      <w:bCs/>
    </w:rPr>
  </w:style>
  <w:style w:type="character" w:customStyle="1" w:styleId="CommentSubjectChar">
    <w:name w:val="Comment Subject Char"/>
    <w:basedOn w:val="CommentTextChar"/>
    <w:link w:val="CommentSubject"/>
    <w:uiPriority w:val="99"/>
    <w:semiHidden/>
    <w:rsid w:val="002D2607"/>
    <w:rPr>
      <w:b/>
      <w:bCs/>
      <w:sz w:val="20"/>
    </w:rPr>
  </w:style>
  <w:style w:type="character" w:customStyle="1" w:styleId="st">
    <w:name w:val="st"/>
    <w:basedOn w:val="DefaultParagraphFont"/>
    <w:rsid w:val="00773DFD"/>
  </w:style>
  <w:style w:type="paragraph" w:styleId="Revision">
    <w:name w:val="Revision"/>
    <w:hidden/>
    <w:uiPriority w:val="99"/>
    <w:semiHidden/>
    <w:rsid w:val="002E5653"/>
    <w:pPr>
      <w:widowControl/>
    </w:pPr>
  </w:style>
  <w:style w:type="paragraph" w:styleId="TOCHeading">
    <w:name w:val="TOC Heading"/>
    <w:basedOn w:val="Heading1"/>
    <w:next w:val="Normal"/>
    <w:uiPriority w:val="39"/>
    <w:semiHidden/>
    <w:unhideWhenUsed/>
    <w:qFormat/>
    <w:rsid w:val="00601741"/>
    <w:pPr>
      <w:keepNext/>
      <w:keepLines/>
      <w:widowControl/>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601741"/>
    <w:pPr>
      <w:spacing w:after="100"/>
    </w:pPr>
  </w:style>
  <w:style w:type="paragraph" w:styleId="TOC2">
    <w:name w:val="toc 2"/>
    <w:basedOn w:val="Normal"/>
    <w:next w:val="Normal"/>
    <w:autoRedefine/>
    <w:uiPriority w:val="39"/>
    <w:unhideWhenUsed/>
    <w:rsid w:val="00601741"/>
    <w:pPr>
      <w:spacing w:after="100"/>
      <w:ind w:left="240"/>
    </w:pPr>
  </w:style>
  <w:style w:type="paragraph" w:styleId="TOC3">
    <w:name w:val="toc 3"/>
    <w:basedOn w:val="Normal"/>
    <w:next w:val="Normal"/>
    <w:autoRedefine/>
    <w:uiPriority w:val="39"/>
    <w:unhideWhenUsed/>
    <w:rsid w:val="00D2091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3629">
      <w:bodyDiv w:val="1"/>
      <w:marLeft w:val="0"/>
      <w:marRight w:val="0"/>
      <w:marTop w:val="0"/>
      <w:marBottom w:val="0"/>
      <w:divBdr>
        <w:top w:val="none" w:sz="0" w:space="0" w:color="auto"/>
        <w:left w:val="none" w:sz="0" w:space="0" w:color="auto"/>
        <w:bottom w:val="none" w:sz="0" w:space="0" w:color="auto"/>
        <w:right w:val="none" w:sz="0" w:space="0" w:color="auto"/>
      </w:divBdr>
    </w:div>
    <w:div w:id="167453266">
      <w:bodyDiv w:val="1"/>
      <w:marLeft w:val="0"/>
      <w:marRight w:val="0"/>
      <w:marTop w:val="0"/>
      <w:marBottom w:val="0"/>
      <w:divBdr>
        <w:top w:val="none" w:sz="0" w:space="0" w:color="auto"/>
        <w:left w:val="none" w:sz="0" w:space="0" w:color="auto"/>
        <w:bottom w:val="none" w:sz="0" w:space="0" w:color="auto"/>
        <w:right w:val="none" w:sz="0" w:space="0" w:color="auto"/>
      </w:divBdr>
    </w:div>
    <w:div w:id="224996866">
      <w:bodyDiv w:val="1"/>
      <w:marLeft w:val="0"/>
      <w:marRight w:val="0"/>
      <w:marTop w:val="0"/>
      <w:marBottom w:val="0"/>
      <w:divBdr>
        <w:top w:val="none" w:sz="0" w:space="0" w:color="auto"/>
        <w:left w:val="none" w:sz="0" w:space="0" w:color="auto"/>
        <w:bottom w:val="none" w:sz="0" w:space="0" w:color="auto"/>
        <w:right w:val="none" w:sz="0" w:space="0" w:color="auto"/>
      </w:divBdr>
    </w:div>
    <w:div w:id="275602278">
      <w:bodyDiv w:val="1"/>
      <w:marLeft w:val="0"/>
      <w:marRight w:val="0"/>
      <w:marTop w:val="0"/>
      <w:marBottom w:val="0"/>
      <w:divBdr>
        <w:top w:val="none" w:sz="0" w:space="0" w:color="auto"/>
        <w:left w:val="none" w:sz="0" w:space="0" w:color="auto"/>
        <w:bottom w:val="none" w:sz="0" w:space="0" w:color="auto"/>
        <w:right w:val="none" w:sz="0" w:space="0" w:color="auto"/>
      </w:divBdr>
    </w:div>
    <w:div w:id="278143672">
      <w:bodyDiv w:val="1"/>
      <w:marLeft w:val="0"/>
      <w:marRight w:val="0"/>
      <w:marTop w:val="0"/>
      <w:marBottom w:val="0"/>
      <w:divBdr>
        <w:top w:val="none" w:sz="0" w:space="0" w:color="auto"/>
        <w:left w:val="none" w:sz="0" w:space="0" w:color="auto"/>
        <w:bottom w:val="none" w:sz="0" w:space="0" w:color="auto"/>
        <w:right w:val="none" w:sz="0" w:space="0" w:color="auto"/>
      </w:divBdr>
    </w:div>
    <w:div w:id="280263813">
      <w:bodyDiv w:val="1"/>
      <w:marLeft w:val="0"/>
      <w:marRight w:val="0"/>
      <w:marTop w:val="0"/>
      <w:marBottom w:val="0"/>
      <w:divBdr>
        <w:top w:val="none" w:sz="0" w:space="0" w:color="auto"/>
        <w:left w:val="none" w:sz="0" w:space="0" w:color="auto"/>
        <w:bottom w:val="none" w:sz="0" w:space="0" w:color="auto"/>
        <w:right w:val="none" w:sz="0" w:space="0" w:color="auto"/>
      </w:divBdr>
    </w:div>
    <w:div w:id="287052815">
      <w:bodyDiv w:val="1"/>
      <w:marLeft w:val="0"/>
      <w:marRight w:val="0"/>
      <w:marTop w:val="0"/>
      <w:marBottom w:val="0"/>
      <w:divBdr>
        <w:top w:val="none" w:sz="0" w:space="0" w:color="auto"/>
        <w:left w:val="none" w:sz="0" w:space="0" w:color="auto"/>
        <w:bottom w:val="none" w:sz="0" w:space="0" w:color="auto"/>
        <w:right w:val="none" w:sz="0" w:space="0" w:color="auto"/>
      </w:divBdr>
    </w:div>
    <w:div w:id="364645431">
      <w:bodyDiv w:val="1"/>
      <w:marLeft w:val="0"/>
      <w:marRight w:val="0"/>
      <w:marTop w:val="0"/>
      <w:marBottom w:val="0"/>
      <w:divBdr>
        <w:top w:val="none" w:sz="0" w:space="0" w:color="auto"/>
        <w:left w:val="none" w:sz="0" w:space="0" w:color="auto"/>
        <w:bottom w:val="none" w:sz="0" w:space="0" w:color="auto"/>
        <w:right w:val="none" w:sz="0" w:space="0" w:color="auto"/>
      </w:divBdr>
      <w:divsChild>
        <w:div w:id="857936024">
          <w:marLeft w:val="108"/>
          <w:marRight w:val="0"/>
          <w:marTop w:val="0"/>
          <w:marBottom w:val="0"/>
          <w:divBdr>
            <w:top w:val="none" w:sz="0" w:space="0" w:color="auto"/>
            <w:left w:val="none" w:sz="0" w:space="0" w:color="auto"/>
            <w:bottom w:val="none" w:sz="0" w:space="0" w:color="auto"/>
            <w:right w:val="none" w:sz="0" w:space="0" w:color="auto"/>
          </w:divBdr>
        </w:div>
      </w:divsChild>
    </w:div>
    <w:div w:id="367489997">
      <w:bodyDiv w:val="1"/>
      <w:marLeft w:val="0"/>
      <w:marRight w:val="0"/>
      <w:marTop w:val="0"/>
      <w:marBottom w:val="0"/>
      <w:divBdr>
        <w:top w:val="none" w:sz="0" w:space="0" w:color="auto"/>
        <w:left w:val="none" w:sz="0" w:space="0" w:color="auto"/>
        <w:bottom w:val="none" w:sz="0" w:space="0" w:color="auto"/>
        <w:right w:val="none" w:sz="0" w:space="0" w:color="auto"/>
      </w:divBdr>
    </w:div>
    <w:div w:id="403184299">
      <w:bodyDiv w:val="1"/>
      <w:marLeft w:val="0"/>
      <w:marRight w:val="0"/>
      <w:marTop w:val="0"/>
      <w:marBottom w:val="0"/>
      <w:divBdr>
        <w:top w:val="none" w:sz="0" w:space="0" w:color="auto"/>
        <w:left w:val="none" w:sz="0" w:space="0" w:color="auto"/>
        <w:bottom w:val="none" w:sz="0" w:space="0" w:color="auto"/>
        <w:right w:val="none" w:sz="0" w:space="0" w:color="auto"/>
      </w:divBdr>
    </w:div>
    <w:div w:id="443383734">
      <w:bodyDiv w:val="1"/>
      <w:marLeft w:val="0"/>
      <w:marRight w:val="0"/>
      <w:marTop w:val="0"/>
      <w:marBottom w:val="0"/>
      <w:divBdr>
        <w:top w:val="none" w:sz="0" w:space="0" w:color="auto"/>
        <w:left w:val="none" w:sz="0" w:space="0" w:color="auto"/>
        <w:bottom w:val="none" w:sz="0" w:space="0" w:color="auto"/>
        <w:right w:val="none" w:sz="0" w:space="0" w:color="auto"/>
      </w:divBdr>
    </w:div>
    <w:div w:id="449281484">
      <w:bodyDiv w:val="1"/>
      <w:marLeft w:val="0"/>
      <w:marRight w:val="0"/>
      <w:marTop w:val="0"/>
      <w:marBottom w:val="0"/>
      <w:divBdr>
        <w:top w:val="none" w:sz="0" w:space="0" w:color="auto"/>
        <w:left w:val="none" w:sz="0" w:space="0" w:color="auto"/>
        <w:bottom w:val="none" w:sz="0" w:space="0" w:color="auto"/>
        <w:right w:val="none" w:sz="0" w:space="0" w:color="auto"/>
      </w:divBdr>
    </w:div>
    <w:div w:id="570971940">
      <w:bodyDiv w:val="1"/>
      <w:marLeft w:val="0"/>
      <w:marRight w:val="0"/>
      <w:marTop w:val="0"/>
      <w:marBottom w:val="0"/>
      <w:divBdr>
        <w:top w:val="none" w:sz="0" w:space="0" w:color="auto"/>
        <w:left w:val="none" w:sz="0" w:space="0" w:color="auto"/>
        <w:bottom w:val="none" w:sz="0" w:space="0" w:color="auto"/>
        <w:right w:val="none" w:sz="0" w:space="0" w:color="auto"/>
      </w:divBdr>
    </w:div>
    <w:div w:id="596328174">
      <w:bodyDiv w:val="1"/>
      <w:marLeft w:val="0"/>
      <w:marRight w:val="0"/>
      <w:marTop w:val="0"/>
      <w:marBottom w:val="0"/>
      <w:divBdr>
        <w:top w:val="none" w:sz="0" w:space="0" w:color="auto"/>
        <w:left w:val="none" w:sz="0" w:space="0" w:color="auto"/>
        <w:bottom w:val="none" w:sz="0" w:space="0" w:color="auto"/>
        <w:right w:val="none" w:sz="0" w:space="0" w:color="auto"/>
      </w:divBdr>
    </w:div>
    <w:div w:id="689792360">
      <w:bodyDiv w:val="1"/>
      <w:marLeft w:val="0"/>
      <w:marRight w:val="0"/>
      <w:marTop w:val="0"/>
      <w:marBottom w:val="0"/>
      <w:divBdr>
        <w:top w:val="none" w:sz="0" w:space="0" w:color="auto"/>
        <w:left w:val="none" w:sz="0" w:space="0" w:color="auto"/>
        <w:bottom w:val="none" w:sz="0" w:space="0" w:color="auto"/>
        <w:right w:val="none" w:sz="0" w:space="0" w:color="auto"/>
      </w:divBdr>
    </w:div>
    <w:div w:id="709304827">
      <w:bodyDiv w:val="1"/>
      <w:marLeft w:val="0"/>
      <w:marRight w:val="0"/>
      <w:marTop w:val="0"/>
      <w:marBottom w:val="0"/>
      <w:divBdr>
        <w:top w:val="none" w:sz="0" w:space="0" w:color="auto"/>
        <w:left w:val="none" w:sz="0" w:space="0" w:color="auto"/>
        <w:bottom w:val="none" w:sz="0" w:space="0" w:color="auto"/>
        <w:right w:val="none" w:sz="0" w:space="0" w:color="auto"/>
      </w:divBdr>
    </w:div>
    <w:div w:id="718824260">
      <w:bodyDiv w:val="1"/>
      <w:marLeft w:val="0"/>
      <w:marRight w:val="0"/>
      <w:marTop w:val="0"/>
      <w:marBottom w:val="0"/>
      <w:divBdr>
        <w:top w:val="none" w:sz="0" w:space="0" w:color="auto"/>
        <w:left w:val="none" w:sz="0" w:space="0" w:color="auto"/>
        <w:bottom w:val="none" w:sz="0" w:space="0" w:color="auto"/>
        <w:right w:val="none" w:sz="0" w:space="0" w:color="auto"/>
      </w:divBdr>
    </w:div>
    <w:div w:id="803740491">
      <w:bodyDiv w:val="1"/>
      <w:marLeft w:val="0"/>
      <w:marRight w:val="0"/>
      <w:marTop w:val="0"/>
      <w:marBottom w:val="0"/>
      <w:divBdr>
        <w:top w:val="none" w:sz="0" w:space="0" w:color="auto"/>
        <w:left w:val="none" w:sz="0" w:space="0" w:color="auto"/>
        <w:bottom w:val="none" w:sz="0" w:space="0" w:color="auto"/>
        <w:right w:val="none" w:sz="0" w:space="0" w:color="auto"/>
      </w:divBdr>
    </w:div>
    <w:div w:id="808598602">
      <w:bodyDiv w:val="1"/>
      <w:marLeft w:val="0"/>
      <w:marRight w:val="0"/>
      <w:marTop w:val="0"/>
      <w:marBottom w:val="0"/>
      <w:divBdr>
        <w:top w:val="none" w:sz="0" w:space="0" w:color="auto"/>
        <w:left w:val="none" w:sz="0" w:space="0" w:color="auto"/>
        <w:bottom w:val="none" w:sz="0" w:space="0" w:color="auto"/>
        <w:right w:val="none" w:sz="0" w:space="0" w:color="auto"/>
      </w:divBdr>
    </w:div>
    <w:div w:id="820192486">
      <w:bodyDiv w:val="1"/>
      <w:marLeft w:val="0"/>
      <w:marRight w:val="0"/>
      <w:marTop w:val="0"/>
      <w:marBottom w:val="0"/>
      <w:divBdr>
        <w:top w:val="none" w:sz="0" w:space="0" w:color="auto"/>
        <w:left w:val="none" w:sz="0" w:space="0" w:color="auto"/>
        <w:bottom w:val="none" w:sz="0" w:space="0" w:color="auto"/>
        <w:right w:val="none" w:sz="0" w:space="0" w:color="auto"/>
      </w:divBdr>
    </w:div>
    <w:div w:id="842819402">
      <w:bodyDiv w:val="1"/>
      <w:marLeft w:val="0"/>
      <w:marRight w:val="0"/>
      <w:marTop w:val="0"/>
      <w:marBottom w:val="0"/>
      <w:divBdr>
        <w:top w:val="none" w:sz="0" w:space="0" w:color="auto"/>
        <w:left w:val="none" w:sz="0" w:space="0" w:color="auto"/>
        <w:bottom w:val="none" w:sz="0" w:space="0" w:color="auto"/>
        <w:right w:val="none" w:sz="0" w:space="0" w:color="auto"/>
      </w:divBdr>
    </w:div>
    <w:div w:id="852650143">
      <w:bodyDiv w:val="1"/>
      <w:marLeft w:val="0"/>
      <w:marRight w:val="0"/>
      <w:marTop w:val="0"/>
      <w:marBottom w:val="0"/>
      <w:divBdr>
        <w:top w:val="none" w:sz="0" w:space="0" w:color="auto"/>
        <w:left w:val="none" w:sz="0" w:space="0" w:color="auto"/>
        <w:bottom w:val="none" w:sz="0" w:space="0" w:color="auto"/>
        <w:right w:val="none" w:sz="0" w:space="0" w:color="auto"/>
      </w:divBdr>
    </w:div>
    <w:div w:id="869026946">
      <w:bodyDiv w:val="1"/>
      <w:marLeft w:val="0"/>
      <w:marRight w:val="0"/>
      <w:marTop w:val="0"/>
      <w:marBottom w:val="0"/>
      <w:divBdr>
        <w:top w:val="none" w:sz="0" w:space="0" w:color="auto"/>
        <w:left w:val="none" w:sz="0" w:space="0" w:color="auto"/>
        <w:bottom w:val="none" w:sz="0" w:space="0" w:color="auto"/>
        <w:right w:val="none" w:sz="0" w:space="0" w:color="auto"/>
      </w:divBdr>
    </w:div>
    <w:div w:id="916748158">
      <w:bodyDiv w:val="1"/>
      <w:marLeft w:val="0"/>
      <w:marRight w:val="0"/>
      <w:marTop w:val="0"/>
      <w:marBottom w:val="0"/>
      <w:divBdr>
        <w:top w:val="none" w:sz="0" w:space="0" w:color="auto"/>
        <w:left w:val="none" w:sz="0" w:space="0" w:color="auto"/>
        <w:bottom w:val="none" w:sz="0" w:space="0" w:color="auto"/>
        <w:right w:val="none" w:sz="0" w:space="0" w:color="auto"/>
      </w:divBdr>
      <w:divsChild>
        <w:div w:id="1691445927">
          <w:marLeft w:val="98"/>
          <w:marRight w:val="0"/>
          <w:marTop w:val="0"/>
          <w:marBottom w:val="0"/>
          <w:divBdr>
            <w:top w:val="none" w:sz="0" w:space="0" w:color="auto"/>
            <w:left w:val="none" w:sz="0" w:space="0" w:color="auto"/>
            <w:bottom w:val="none" w:sz="0" w:space="0" w:color="auto"/>
            <w:right w:val="none" w:sz="0" w:space="0" w:color="auto"/>
          </w:divBdr>
        </w:div>
      </w:divsChild>
    </w:div>
    <w:div w:id="937446677">
      <w:bodyDiv w:val="1"/>
      <w:marLeft w:val="0"/>
      <w:marRight w:val="0"/>
      <w:marTop w:val="0"/>
      <w:marBottom w:val="0"/>
      <w:divBdr>
        <w:top w:val="none" w:sz="0" w:space="0" w:color="auto"/>
        <w:left w:val="none" w:sz="0" w:space="0" w:color="auto"/>
        <w:bottom w:val="none" w:sz="0" w:space="0" w:color="auto"/>
        <w:right w:val="none" w:sz="0" w:space="0" w:color="auto"/>
      </w:divBdr>
    </w:div>
    <w:div w:id="985163434">
      <w:bodyDiv w:val="1"/>
      <w:marLeft w:val="0"/>
      <w:marRight w:val="0"/>
      <w:marTop w:val="0"/>
      <w:marBottom w:val="0"/>
      <w:divBdr>
        <w:top w:val="none" w:sz="0" w:space="0" w:color="auto"/>
        <w:left w:val="none" w:sz="0" w:space="0" w:color="auto"/>
        <w:bottom w:val="none" w:sz="0" w:space="0" w:color="auto"/>
        <w:right w:val="none" w:sz="0" w:space="0" w:color="auto"/>
      </w:divBdr>
    </w:div>
    <w:div w:id="997346004">
      <w:bodyDiv w:val="1"/>
      <w:marLeft w:val="0"/>
      <w:marRight w:val="0"/>
      <w:marTop w:val="0"/>
      <w:marBottom w:val="0"/>
      <w:divBdr>
        <w:top w:val="none" w:sz="0" w:space="0" w:color="auto"/>
        <w:left w:val="none" w:sz="0" w:space="0" w:color="auto"/>
        <w:bottom w:val="none" w:sz="0" w:space="0" w:color="auto"/>
        <w:right w:val="none" w:sz="0" w:space="0" w:color="auto"/>
      </w:divBdr>
    </w:div>
    <w:div w:id="1010716533">
      <w:bodyDiv w:val="1"/>
      <w:marLeft w:val="0"/>
      <w:marRight w:val="0"/>
      <w:marTop w:val="0"/>
      <w:marBottom w:val="0"/>
      <w:divBdr>
        <w:top w:val="none" w:sz="0" w:space="0" w:color="auto"/>
        <w:left w:val="none" w:sz="0" w:space="0" w:color="auto"/>
        <w:bottom w:val="none" w:sz="0" w:space="0" w:color="auto"/>
        <w:right w:val="none" w:sz="0" w:space="0" w:color="auto"/>
      </w:divBdr>
    </w:div>
    <w:div w:id="1060590011">
      <w:bodyDiv w:val="1"/>
      <w:marLeft w:val="0"/>
      <w:marRight w:val="0"/>
      <w:marTop w:val="0"/>
      <w:marBottom w:val="0"/>
      <w:divBdr>
        <w:top w:val="none" w:sz="0" w:space="0" w:color="auto"/>
        <w:left w:val="none" w:sz="0" w:space="0" w:color="auto"/>
        <w:bottom w:val="none" w:sz="0" w:space="0" w:color="auto"/>
        <w:right w:val="none" w:sz="0" w:space="0" w:color="auto"/>
      </w:divBdr>
    </w:div>
    <w:div w:id="1082675458">
      <w:bodyDiv w:val="1"/>
      <w:marLeft w:val="0"/>
      <w:marRight w:val="0"/>
      <w:marTop w:val="0"/>
      <w:marBottom w:val="0"/>
      <w:divBdr>
        <w:top w:val="none" w:sz="0" w:space="0" w:color="auto"/>
        <w:left w:val="none" w:sz="0" w:space="0" w:color="auto"/>
        <w:bottom w:val="none" w:sz="0" w:space="0" w:color="auto"/>
        <w:right w:val="none" w:sz="0" w:space="0" w:color="auto"/>
      </w:divBdr>
    </w:div>
    <w:div w:id="1153331432">
      <w:bodyDiv w:val="1"/>
      <w:marLeft w:val="0"/>
      <w:marRight w:val="0"/>
      <w:marTop w:val="0"/>
      <w:marBottom w:val="0"/>
      <w:divBdr>
        <w:top w:val="none" w:sz="0" w:space="0" w:color="auto"/>
        <w:left w:val="none" w:sz="0" w:space="0" w:color="auto"/>
        <w:bottom w:val="none" w:sz="0" w:space="0" w:color="auto"/>
        <w:right w:val="none" w:sz="0" w:space="0" w:color="auto"/>
      </w:divBdr>
    </w:div>
    <w:div w:id="1164854932">
      <w:bodyDiv w:val="1"/>
      <w:marLeft w:val="0"/>
      <w:marRight w:val="0"/>
      <w:marTop w:val="0"/>
      <w:marBottom w:val="0"/>
      <w:divBdr>
        <w:top w:val="none" w:sz="0" w:space="0" w:color="auto"/>
        <w:left w:val="none" w:sz="0" w:space="0" w:color="auto"/>
        <w:bottom w:val="none" w:sz="0" w:space="0" w:color="auto"/>
        <w:right w:val="none" w:sz="0" w:space="0" w:color="auto"/>
      </w:divBdr>
    </w:div>
    <w:div w:id="1164861693">
      <w:bodyDiv w:val="1"/>
      <w:marLeft w:val="0"/>
      <w:marRight w:val="0"/>
      <w:marTop w:val="0"/>
      <w:marBottom w:val="0"/>
      <w:divBdr>
        <w:top w:val="none" w:sz="0" w:space="0" w:color="auto"/>
        <w:left w:val="none" w:sz="0" w:space="0" w:color="auto"/>
        <w:bottom w:val="none" w:sz="0" w:space="0" w:color="auto"/>
        <w:right w:val="none" w:sz="0" w:space="0" w:color="auto"/>
      </w:divBdr>
    </w:div>
    <w:div w:id="1200631616">
      <w:bodyDiv w:val="1"/>
      <w:marLeft w:val="0"/>
      <w:marRight w:val="0"/>
      <w:marTop w:val="0"/>
      <w:marBottom w:val="0"/>
      <w:divBdr>
        <w:top w:val="none" w:sz="0" w:space="0" w:color="auto"/>
        <w:left w:val="none" w:sz="0" w:space="0" w:color="auto"/>
        <w:bottom w:val="none" w:sz="0" w:space="0" w:color="auto"/>
        <w:right w:val="none" w:sz="0" w:space="0" w:color="auto"/>
      </w:divBdr>
      <w:divsChild>
        <w:div w:id="621959036">
          <w:marLeft w:val="0"/>
          <w:marRight w:val="0"/>
          <w:marTop w:val="0"/>
          <w:marBottom w:val="0"/>
          <w:divBdr>
            <w:top w:val="none" w:sz="0" w:space="0" w:color="auto"/>
            <w:left w:val="none" w:sz="0" w:space="0" w:color="auto"/>
            <w:bottom w:val="none" w:sz="0" w:space="0" w:color="auto"/>
            <w:right w:val="none" w:sz="0" w:space="0" w:color="auto"/>
          </w:divBdr>
        </w:div>
      </w:divsChild>
    </w:div>
    <w:div w:id="1201628089">
      <w:bodyDiv w:val="1"/>
      <w:marLeft w:val="0"/>
      <w:marRight w:val="0"/>
      <w:marTop w:val="0"/>
      <w:marBottom w:val="0"/>
      <w:divBdr>
        <w:top w:val="none" w:sz="0" w:space="0" w:color="auto"/>
        <w:left w:val="none" w:sz="0" w:space="0" w:color="auto"/>
        <w:bottom w:val="none" w:sz="0" w:space="0" w:color="auto"/>
        <w:right w:val="none" w:sz="0" w:space="0" w:color="auto"/>
      </w:divBdr>
    </w:div>
    <w:div w:id="1233810025">
      <w:bodyDiv w:val="1"/>
      <w:marLeft w:val="0"/>
      <w:marRight w:val="0"/>
      <w:marTop w:val="0"/>
      <w:marBottom w:val="0"/>
      <w:divBdr>
        <w:top w:val="none" w:sz="0" w:space="0" w:color="auto"/>
        <w:left w:val="none" w:sz="0" w:space="0" w:color="auto"/>
        <w:bottom w:val="none" w:sz="0" w:space="0" w:color="auto"/>
        <w:right w:val="none" w:sz="0" w:space="0" w:color="auto"/>
      </w:divBdr>
    </w:div>
    <w:div w:id="1254163434">
      <w:bodyDiv w:val="1"/>
      <w:marLeft w:val="0"/>
      <w:marRight w:val="0"/>
      <w:marTop w:val="0"/>
      <w:marBottom w:val="0"/>
      <w:divBdr>
        <w:top w:val="none" w:sz="0" w:space="0" w:color="auto"/>
        <w:left w:val="none" w:sz="0" w:space="0" w:color="auto"/>
        <w:bottom w:val="none" w:sz="0" w:space="0" w:color="auto"/>
        <w:right w:val="none" w:sz="0" w:space="0" w:color="auto"/>
      </w:divBdr>
    </w:div>
    <w:div w:id="1356813387">
      <w:bodyDiv w:val="1"/>
      <w:marLeft w:val="0"/>
      <w:marRight w:val="0"/>
      <w:marTop w:val="0"/>
      <w:marBottom w:val="0"/>
      <w:divBdr>
        <w:top w:val="none" w:sz="0" w:space="0" w:color="auto"/>
        <w:left w:val="none" w:sz="0" w:space="0" w:color="auto"/>
        <w:bottom w:val="none" w:sz="0" w:space="0" w:color="auto"/>
        <w:right w:val="none" w:sz="0" w:space="0" w:color="auto"/>
      </w:divBdr>
    </w:div>
    <w:div w:id="1442606875">
      <w:bodyDiv w:val="1"/>
      <w:marLeft w:val="0"/>
      <w:marRight w:val="0"/>
      <w:marTop w:val="0"/>
      <w:marBottom w:val="0"/>
      <w:divBdr>
        <w:top w:val="none" w:sz="0" w:space="0" w:color="auto"/>
        <w:left w:val="none" w:sz="0" w:space="0" w:color="auto"/>
        <w:bottom w:val="none" w:sz="0" w:space="0" w:color="auto"/>
        <w:right w:val="none" w:sz="0" w:space="0" w:color="auto"/>
      </w:divBdr>
    </w:div>
    <w:div w:id="1453013384">
      <w:bodyDiv w:val="1"/>
      <w:marLeft w:val="0"/>
      <w:marRight w:val="0"/>
      <w:marTop w:val="0"/>
      <w:marBottom w:val="0"/>
      <w:divBdr>
        <w:top w:val="none" w:sz="0" w:space="0" w:color="auto"/>
        <w:left w:val="none" w:sz="0" w:space="0" w:color="auto"/>
        <w:bottom w:val="none" w:sz="0" w:space="0" w:color="auto"/>
        <w:right w:val="none" w:sz="0" w:space="0" w:color="auto"/>
      </w:divBdr>
    </w:div>
    <w:div w:id="1489401576">
      <w:bodyDiv w:val="1"/>
      <w:marLeft w:val="0"/>
      <w:marRight w:val="0"/>
      <w:marTop w:val="0"/>
      <w:marBottom w:val="0"/>
      <w:divBdr>
        <w:top w:val="none" w:sz="0" w:space="0" w:color="auto"/>
        <w:left w:val="none" w:sz="0" w:space="0" w:color="auto"/>
        <w:bottom w:val="none" w:sz="0" w:space="0" w:color="auto"/>
        <w:right w:val="none" w:sz="0" w:space="0" w:color="auto"/>
      </w:divBdr>
    </w:div>
    <w:div w:id="1496605438">
      <w:bodyDiv w:val="1"/>
      <w:marLeft w:val="0"/>
      <w:marRight w:val="0"/>
      <w:marTop w:val="0"/>
      <w:marBottom w:val="0"/>
      <w:divBdr>
        <w:top w:val="none" w:sz="0" w:space="0" w:color="auto"/>
        <w:left w:val="none" w:sz="0" w:space="0" w:color="auto"/>
        <w:bottom w:val="none" w:sz="0" w:space="0" w:color="auto"/>
        <w:right w:val="none" w:sz="0" w:space="0" w:color="auto"/>
      </w:divBdr>
    </w:div>
    <w:div w:id="1530534080">
      <w:bodyDiv w:val="1"/>
      <w:marLeft w:val="0"/>
      <w:marRight w:val="0"/>
      <w:marTop w:val="0"/>
      <w:marBottom w:val="0"/>
      <w:divBdr>
        <w:top w:val="none" w:sz="0" w:space="0" w:color="auto"/>
        <w:left w:val="none" w:sz="0" w:space="0" w:color="auto"/>
        <w:bottom w:val="none" w:sz="0" w:space="0" w:color="auto"/>
        <w:right w:val="none" w:sz="0" w:space="0" w:color="auto"/>
      </w:divBdr>
    </w:div>
    <w:div w:id="1546411263">
      <w:bodyDiv w:val="1"/>
      <w:marLeft w:val="0"/>
      <w:marRight w:val="0"/>
      <w:marTop w:val="0"/>
      <w:marBottom w:val="0"/>
      <w:divBdr>
        <w:top w:val="none" w:sz="0" w:space="0" w:color="auto"/>
        <w:left w:val="none" w:sz="0" w:space="0" w:color="auto"/>
        <w:bottom w:val="none" w:sz="0" w:space="0" w:color="auto"/>
        <w:right w:val="none" w:sz="0" w:space="0" w:color="auto"/>
      </w:divBdr>
    </w:div>
    <w:div w:id="1617836113">
      <w:bodyDiv w:val="1"/>
      <w:marLeft w:val="0"/>
      <w:marRight w:val="0"/>
      <w:marTop w:val="0"/>
      <w:marBottom w:val="0"/>
      <w:divBdr>
        <w:top w:val="none" w:sz="0" w:space="0" w:color="auto"/>
        <w:left w:val="none" w:sz="0" w:space="0" w:color="auto"/>
        <w:bottom w:val="none" w:sz="0" w:space="0" w:color="auto"/>
        <w:right w:val="none" w:sz="0" w:space="0" w:color="auto"/>
      </w:divBdr>
      <w:divsChild>
        <w:div w:id="967781889">
          <w:marLeft w:val="0"/>
          <w:marRight w:val="0"/>
          <w:marTop w:val="0"/>
          <w:marBottom w:val="0"/>
          <w:divBdr>
            <w:top w:val="none" w:sz="0" w:space="0" w:color="auto"/>
            <w:left w:val="none" w:sz="0" w:space="0" w:color="auto"/>
            <w:bottom w:val="none" w:sz="0" w:space="0" w:color="auto"/>
            <w:right w:val="none" w:sz="0" w:space="0" w:color="auto"/>
          </w:divBdr>
        </w:div>
      </w:divsChild>
    </w:div>
    <w:div w:id="1716540557">
      <w:bodyDiv w:val="1"/>
      <w:marLeft w:val="0"/>
      <w:marRight w:val="0"/>
      <w:marTop w:val="0"/>
      <w:marBottom w:val="0"/>
      <w:divBdr>
        <w:top w:val="none" w:sz="0" w:space="0" w:color="auto"/>
        <w:left w:val="none" w:sz="0" w:space="0" w:color="auto"/>
        <w:bottom w:val="none" w:sz="0" w:space="0" w:color="auto"/>
        <w:right w:val="none" w:sz="0" w:space="0" w:color="auto"/>
      </w:divBdr>
    </w:div>
    <w:div w:id="1746759436">
      <w:bodyDiv w:val="1"/>
      <w:marLeft w:val="0"/>
      <w:marRight w:val="0"/>
      <w:marTop w:val="0"/>
      <w:marBottom w:val="0"/>
      <w:divBdr>
        <w:top w:val="none" w:sz="0" w:space="0" w:color="auto"/>
        <w:left w:val="none" w:sz="0" w:space="0" w:color="auto"/>
        <w:bottom w:val="none" w:sz="0" w:space="0" w:color="auto"/>
        <w:right w:val="none" w:sz="0" w:space="0" w:color="auto"/>
      </w:divBdr>
    </w:div>
    <w:div w:id="1750423993">
      <w:bodyDiv w:val="1"/>
      <w:marLeft w:val="0"/>
      <w:marRight w:val="0"/>
      <w:marTop w:val="0"/>
      <w:marBottom w:val="0"/>
      <w:divBdr>
        <w:top w:val="none" w:sz="0" w:space="0" w:color="auto"/>
        <w:left w:val="none" w:sz="0" w:space="0" w:color="auto"/>
        <w:bottom w:val="none" w:sz="0" w:space="0" w:color="auto"/>
        <w:right w:val="none" w:sz="0" w:space="0" w:color="auto"/>
      </w:divBdr>
    </w:div>
    <w:div w:id="1782141071">
      <w:bodyDiv w:val="1"/>
      <w:marLeft w:val="0"/>
      <w:marRight w:val="0"/>
      <w:marTop w:val="0"/>
      <w:marBottom w:val="0"/>
      <w:divBdr>
        <w:top w:val="none" w:sz="0" w:space="0" w:color="auto"/>
        <w:left w:val="none" w:sz="0" w:space="0" w:color="auto"/>
        <w:bottom w:val="none" w:sz="0" w:space="0" w:color="auto"/>
        <w:right w:val="none" w:sz="0" w:space="0" w:color="auto"/>
      </w:divBdr>
    </w:div>
    <w:div w:id="1853376861">
      <w:bodyDiv w:val="1"/>
      <w:marLeft w:val="0"/>
      <w:marRight w:val="0"/>
      <w:marTop w:val="0"/>
      <w:marBottom w:val="0"/>
      <w:divBdr>
        <w:top w:val="none" w:sz="0" w:space="0" w:color="auto"/>
        <w:left w:val="none" w:sz="0" w:space="0" w:color="auto"/>
        <w:bottom w:val="none" w:sz="0" w:space="0" w:color="auto"/>
        <w:right w:val="none" w:sz="0" w:space="0" w:color="auto"/>
      </w:divBdr>
    </w:div>
    <w:div w:id="1856572996">
      <w:bodyDiv w:val="1"/>
      <w:marLeft w:val="0"/>
      <w:marRight w:val="0"/>
      <w:marTop w:val="0"/>
      <w:marBottom w:val="0"/>
      <w:divBdr>
        <w:top w:val="none" w:sz="0" w:space="0" w:color="auto"/>
        <w:left w:val="none" w:sz="0" w:space="0" w:color="auto"/>
        <w:bottom w:val="none" w:sz="0" w:space="0" w:color="auto"/>
        <w:right w:val="none" w:sz="0" w:space="0" w:color="auto"/>
      </w:divBdr>
    </w:div>
    <w:div w:id="1865895723">
      <w:bodyDiv w:val="1"/>
      <w:marLeft w:val="0"/>
      <w:marRight w:val="0"/>
      <w:marTop w:val="0"/>
      <w:marBottom w:val="0"/>
      <w:divBdr>
        <w:top w:val="none" w:sz="0" w:space="0" w:color="auto"/>
        <w:left w:val="none" w:sz="0" w:space="0" w:color="auto"/>
        <w:bottom w:val="none" w:sz="0" w:space="0" w:color="auto"/>
        <w:right w:val="none" w:sz="0" w:space="0" w:color="auto"/>
      </w:divBdr>
    </w:div>
    <w:div w:id="1876844165">
      <w:bodyDiv w:val="1"/>
      <w:marLeft w:val="0"/>
      <w:marRight w:val="0"/>
      <w:marTop w:val="0"/>
      <w:marBottom w:val="0"/>
      <w:divBdr>
        <w:top w:val="none" w:sz="0" w:space="0" w:color="auto"/>
        <w:left w:val="none" w:sz="0" w:space="0" w:color="auto"/>
        <w:bottom w:val="none" w:sz="0" w:space="0" w:color="auto"/>
        <w:right w:val="none" w:sz="0" w:space="0" w:color="auto"/>
      </w:divBdr>
    </w:div>
    <w:div w:id="1905404777">
      <w:bodyDiv w:val="1"/>
      <w:marLeft w:val="0"/>
      <w:marRight w:val="0"/>
      <w:marTop w:val="0"/>
      <w:marBottom w:val="0"/>
      <w:divBdr>
        <w:top w:val="none" w:sz="0" w:space="0" w:color="auto"/>
        <w:left w:val="none" w:sz="0" w:space="0" w:color="auto"/>
        <w:bottom w:val="none" w:sz="0" w:space="0" w:color="auto"/>
        <w:right w:val="none" w:sz="0" w:space="0" w:color="auto"/>
      </w:divBdr>
    </w:div>
    <w:div w:id="1906603437">
      <w:bodyDiv w:val="1"/>
      <w:marLeft w:val="0"/>
      <w:marRight w:val="0"/>
      <w:marTop w:val="0"/>
      <w:marBottom w:val="0"/>
      <w:divBdr>
        <w:top w:val="none" w:sz="0" w:space="0" w:color="auto"/>
        <w:left w:val="none" w:sz="0" w:space="0" w:color="auto"/>
        <w:bottom w:val="none" w:sz="0" w:space="0" w:color="auto"/>
        <w:right w:val="none" w:sz="0" w:space="0" w:color="auto"/>
      </w:divBdr>
    </w:div>
    <w:div w:id="1916737747">
      <w:bodyDiv w:val="1"/>
      <w:marLeft w:val="0"/>
      <w:marRight w:val="0"/>
      <w:marTop w:val="0"/>
      <w:marBottom w:val="0"/>
      <w:divBdr>
        <w:top w:val="none" w:sz="0" w:space="0" w:color="auto"/>
        <w:left w:val="none" w:sz="0" w:space="0" w:color="auto"/>
        <w:bottom w:val="none" w:sz="0" w:space="0" w:color="auto"/>
        <w:right w:val="none" w:sz="0" w:space="0" w:color="auto"/>
      </w:divBdr>
    </w:div>
    <w:div w:id="1926722872">
      <w:bodyDiv w:val="1"/>
      <w:marLeft w:val="0"/>
      <w:marRight w:val="0"/>
      <w:marTop w:val="0"/>
      <w:marBottom w:val="0"/>
      <w:divBdr>
        <w:top w:val="none" w:sz="0" w:space="0" w:color="auto"/>
        <w:left w:val="none" w:sz="0" w:space="0" w:color="auto"/>
        <w:bottom w:val="none" w:sz="0" w:space="0" w:color="auto"/>
        <w:right w:val="none" w:sz="0" w:space="0" w:color="auto"/>
      </w:divBdr>
    </w:div>
    <w:div w:id="1931353487">
      <w:bodyDiv w:val="1"/>
      <w:marLeft w:val="0"/>
      <w:marRight w:val="0"/>
      <w:marTop w:val="0"/>
      <w:marBottom w:val="0"/>
      <w:divBdr>
        <w:top w:val="none" w:sz="0" w:space="0" w:color="auto"/>
        <w:left w:val="none" w:sz="0" w:space="0" w:color="auto"/>
        <w:bottom w:val="none" w:sz="0" w:space="0" w:color="auto"/>
        <w:right w:val="none" w:sz="0" w:space="0" w:color="auto"/>
      </w:divBdr>
    </w:div>
    <w:div w:id="1939483508">
      <w:bodyDiv w:val="1"/>
      <w:marLeft w:val="0"/>
      <w:marRight w:val="0"/>
      <w:marTop w:val="0"/>
      <w:marBottom w:val="0"/>
      <w:divBdr>
        <w:top w:val="none" w:sz="0" w:space="0" w:color="auto"/>
        <w:left w:val="none" w:sz="0" w:space="0" w:color="auto"/>
        <w:bottom w:val="none" w:sz="0" w:space="0" w:color="auto"/>
        <w:right w:val="none" w:sz="0" w:space="0" w:color="auto"/>
      </w:divBdr>
    </w:div>
    <w:div w:id="1951160155">
      <w:bodyDiv w:val="1"/>
      <w:marLeft w:val="0"/>
      <w:marRight w:val="0"/>
      <w:marTop w:val="0"/>
      <w:marBottom w:val="0"/>
      <w:divBdr>
        <w:top w:val="none" w:sz="0" w:space="0" w:color="auto"/>
        <w:left w:val="none" w:sz="0" w:space="0" w:color="auto"/>
        <w:bottom w:val="none" w:sz="0" w:space="0" w:color="auto"/>
        <w:right w:val="none" w:sz="0" w:space="0" w:color="auto"/>
      </w:divBdr>
    </w:div>
    <w:div w:id="1953241936">
      <w:bodyDiv w:val="1"/>
      <w:marLeft w:val="0"/>
      <w:marRight w:val="0"/>
      <w:marTop w:val="0"/>
      <w:marBottom w:val="0"/>
      <w:divBdr>
        <w:top w:val="none" w:sz="0" w:space="0" w:color="auto"/>
        <w:left w:val="none" w:sz="0" w:space="0" w:color="auto"/>
        <w:bottom w:val="none" w:sz="0" w:space="0" w:color="auto"/>
        <w:right w:val="none" w:sz="0" w:space="0" w:color="auto"/>
      </w:divBdr>
    </w:div>
    <w:div w:id="2024698217">
      <w:bodyDiv w:val="1"/>
      <w:marLeft w:val="0"/>
      <w:marRight w:val="0"/>
      <w:marTop w:val="0"/>
      <w:marBottom w:val="0"/>
      <w:divBdr>
        <w:top w:val="none" w:sz="0" w:space="0" w:color="auto"/>
        <w:left w:val="none" w:sz="0" w:space="0" w:color="auto"/>
        <w:bottom w:val="none" w:sz="0" w:space="0" w:color="auto"/>
        <w:right w:val="none" w:sz="0" w:space="0" w:color="auto"/>
      </w:divBdr>
    </w:div>
    <w:div w:id="2095736121">
      <w:bodyDiv w:val="1"/>
      <w:marLeft w:val="0"/>
      <w:marRight w:val="0"/>
      <w:marTop w:val="0"/>
      <w:marBottom w:val="0"/>
      <w:divBdr>
        <w:top w:val="none" w:sz="0" w:space="0" w:color="auto"/>
        <w:left w:val="none" w:sz="0" w:space="0" w:color="auto"/>
        <w:bottom w:val="none" w:sz="0" w:space="0" w:color="auto"/>
        <w:right w:val="none" w:sz="0" w:space="0" w:color="auto"/>
      </w:divBdr>
    </w:div>
    <w:div w:id="2101367295">
      <w:bodyDiv w:val="1"/>
      <w:marLeft w:val="0"/>
      <w:marRight w:val="0"/>
      <w:marTop w:val="0"/>
      <w:marBottom w:val="0"/>
      <w:divBdr>
        <w:top w:val="none" w:sz="0" w:space="0" w:color="auto"/>
        <w:left w:val="none" w:sz="0" w:space="0" w:color="auto"/>
        <w:bottom w:val="none" w:sz="0" w:space="0" w:color="auto"/>
        <w:right w:val="none" w:sz="0" w:space="0" w:color="auto"/>
      </w:divBdr>
    </w:div>
    <w:div w:id="2122262881">
      <w:bodyDiv w:val="1"/>
      <w:marLeft w:val="0"/>
      <w:marRight w:val="0"/>
      <w:marTop w:val="0"/>
      <w:marBottom w:val="0"/>
      <w:divBdr>
        <w:top w:val="none" w:sz="0" w:space="0" w:color="auto"/>
        <w:left w:val="none" w:sz="0" w:space="0" w:color="auto"/>
        <w:bottom w:val="none" w:sz="0" w:space="0" w:color="auto"/>
        <w:right w:val="none" w:sz="0" w:space="0" w:color="auto"/>
      </w:divBdr>
    </w:div>
    <w:div w:id="2123842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obzor2020.hr/"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r-HR"/>
              <a:t>Pregled</a:t>
            </a:r>
            <a:r>
              <a:rPr lang="hr-HR" baseline="0"/>
              <a:t> broja djelatnika kroz godine</a:t>
            </a:r>
            <a:endParaRPr lang="hr-HR"/>
          </a:p>
        </c:rich>
      </c:tx>
      <c:overlay val="0"/>
    </c:title>
    <c:autoTitleDeleted val="0"/>
    <c:plotArea>
      <c:layout>
        <c:manualLayout>
          <c:layoutTarget val="inner"/>
          <c:xMode val="edge"/>
          <c:yMode val="edge"/>
          <c:x val="3.9888369885967639E-2"/>
          <c:y val="9.044678565480109E-2"/>
          <c:w val="0.88001376099174045"/>
          <c:h val="0.80685080111479712"/>
        </c:manualLayout>
      </c:layout>
      <c:lineChart>
        <c:grouping val="standard"/>
        <c:varyColors val="0"/>
        <c:ser>
          <c:idx val="0"/>
          <c:order val="0"/>
          <c:cat>
            <c:strRef>
              <c:f>'[Pregled broja djelanika po godinama (2).xlsx]Sheet1'!$F$13:$CI$13</c:f>
              <c:strCache>
                <c:ptCount val="82"/>
                <c:pt idx="0">
                  <c:v>31.3.2008</c:v>
                </c:pt>
                <c:pt idx="1">
                  <c:v>30.4.2008</c:v>
                </c:pt>
                <c:pt idx="2">
                  <c:v>31.5.2008</c:v>
                </c:pt>
                <c:pt idx="3">
                  <c:v>30.6.2008</c:v>
                </c:pt>
                <c:pt idx="4">
                  <c:v>31.7.2008</c:v>
                </c:pt>
                <c:pt idx="5">
                  <c:v>31.8.2008</c:v>
                </c:pt>
                <c:pt idx="6">
                  <c:v>30.9.2008</c:v>
                </c:pt>
                <c:pt idx="7">
                  <c:v>31.10.2008</c:v>
                </c:pt>
                <c:pt idx="8">
                  <c:v>30.11.2008</c:v>
                </c:pt>
                <c:pt idx="9">
                  <c:v>31.12.2008</c:v>
                </c:pt>
                <c:pt idx="10">
                  <c:v>31.1.2009</c:v>
                </c:pt>
                <c:pt idx="11">
                  <c:v>28.2.2009</c:v>
                </c:pt>
                <c:pt idx="12">
                  <c:v>31.3.2009</c:v>
                </c:pt>
                <c:pt idx="13">
                  <c:v>30.4.2009</c:v>
                </c:pt>
                <c:pt idx="14">
                  <c:v>31.5.2009</c:v>
                </c:pt>
                <c:pt idx="15">
                  <c:v>30.6.2009</c:v>
                </c:pt>
                <c:pt idx="16">
                  <c:v>31.7.2009</c:v>
                </c:pt>
                <c:pt idx="17">
                  <c:v>31.8.2009</c:v>
                </c:pt>
                <c:pt idx="18">
                  <c:v>30.9.2009</c:v>
                </c:pt>
                <c:pt idx="19">
                  <c:v>31.10.2009</c:v>
                </c:pt>
                <c:pt idx="20">
                  <c:v>30.11.2009</c:v>
                </c:pt>
                <c:pt idx="21">
                  <c:v>31.12.2009</c:v>
                </c:pt>
                <c:pt idx="22">
                  <c:v>31.1.2010</c:v>
                </c:pt>
                <c:pt idx="23">
                  <c:v>28.2.2010</c:v>
                </c:pt>
                <c:pt idx="24">
                  <c:v>31.3.2010</c:v>
                </c:pt>
                <c:pt idx="25">
                  <c:v>30.4.2010</c:v>
                </c:pt>
                <c:pt idx="26">
                  <c:v>31.5.2010</c:v>
                </c:pt>
                <c:pt idx="27">
                  <c:v>30.6.2010</c:v>
                </c:pt>
                <c:pt idx="28">
                  <c:v>31.7.2010</c:v>
                </c:pt>
                <c:pt idx="29">
                  <c:v>31.8.2010</c:v>
                </c:pt>
                <c:pt idx="30">
                  <c:v>30.9.2010</c:v>
                </c:pt>
                <c:pt idx="31">
                  <c:v>31.10.2010</c:v>
                </c:pt>
                <c:pt idx="32">
                  <c:v>30.11.2010</c:v>
                </c:pt>
                <c:pt idx="33">
                  <c:v>31.12.2010</c:v>
                </c:pt>
                <c:pt idx="34">
                  <c:v>31.1.2011</c:v>
                </c:pt>
                <c:pt idx="35">
                  <c:v>28.2.2011</c:v>
                </c:pt>
                <c:pt idx="36">
                  <c:v>31.3.2011</c:v>
                </c:pt>
                <c:pt idx="37">
                  <c:v>30.4.2011</c:v>
                </c:pt>
                <c:pt idx="38">
                  <c:v>31.5.2011</c:v>
                </c:pt>
                <c:pt idx="39">
                  <c:v>30.6.2011</c:v>
                </c:pt>
                <c:pt idx="40">
                  <c:v>31.7.2011</c:v>
                </c:pt>
                <c:pt idx="41">
                  <c:v>31.8.2011</c:v>
                </c:pt>
                <c:pt idx="42">
                  <c:v>30.9.2011</c:v>
                </c:pt>
                <c:pt idx="43">
                  <c:v>31.10.2011</c:v>
                </c:pt>
                <c:pt idx="44">
                  <c:v>30.11.2011</c:v>
                </c:pt>
                <c:pt idx="45">
                  <c:v>31.12.2011</c:v>
                </c:pt>
                <c:pt idx="46">
                  <c:v>31.1.2012</c:v>
                </c:pt>
                <c:pt idx="47">
                  <c:v>29.2.2012</c:v>
                </c:pt>
                <c:pt idx="48">
                  <c:v>31.3.2012</c:v>
                </c:pt>
                <c:pt idx="49">
                  <c:v>30.4.2012</c:v>
                </c:pt>
                <c:pt idx="50">
                  <c:v>31.5.2012</c:v>
                </c:pt>
                <c:pt idx="51">
                  <c:v>30.6.2012</c:v>
                </c:pt>
                <c:pt idx="52">
                  <c:v>31.7.2012</c:v>
                </c:pt>
                <c:pt idx="53">
                  <c:v>31.8.2012</c:v>
                </c:pt>
                <c:pt idx="54">
                  <c:v>30.9.2012</c:v>
                </c:pt>
                <c:pt idx="55">
                  <c:v>31.10.2012</c:v>
                </c:pt>
                <c:pt idx="56">
                  <c:v>30.11.2012</c:v>
                </c:pt>
                <c:pt idx="57">
                  <c:v>31.12.2012</c:v>
                </c:pt>
                <c:pt idx="58">
                  <c:v>31.1.2013</c:v>
                </c:pt>
                <c:pt idx="59">
                  <c:v>28.2.2013</c:v>
                </c:pt>
                <c:pt idx="60">
                  <c:v>31.3.2013</c:v>
                </c:pt>
                <c:pt idx="61">
                  <c:v>30.4.2013</c:v>
                </c:pt>
                <c:pt idx="62">
                  <c:v>31.5.2013</c:v>
                </c:pt>
                <c:pt idx="63">
                  <c:v>30.6.2013</c:v>
                </c:pt>
                <c:pt idx="64">
                  <c:v>31.7.2013</c:v>
                </c:pt>
                <c:pt idx="65">
                  <c:v>31.8.2013</c:v>
                </c:pt>
                <c:pt idx="66">
                  <c:v>30.9.2013</c:v>
                </c:pt>
                <c:pt idx="67">
                  <c:v>31.10.2013</c:v>
                </c:pt>
                <c:pt idx="68">
                  <c:v>30.11.2013</c:v>
                </c:pt>
                <c:pt idx="69">
                  <c:v>31.12.2013</c:v>
                </c:pt>
                <c:pt idx="70">
                  <c:v>31.01.2014.</c:v>
                </c:pt>
                <c:pt idx="71">
                  <c:v>28.02.2014.</c:v>
                </c:pt>
                <c:pt idx="72">
                  <c:v>31.03.2014.</c:v>
                </c:pt>
                <c:pt idx="73">
                  <c:v>30.04.2014.</c:v>
                </c:pt>
                <c:pt idx="74">
                  <c:v>31.05.2014.</c:v>
                </c:pt>
                <c:pt idx="75">
                  <c:v>31.06.2014.</c:v>
                </c:pt>
                <c:pt idx="76">
                  <c:v>31.07.2014.</c:v>
                </c:pt>
                <c:pt idx="77">
                  <c:v>31.08.2014.</c:v>
                </c:pt>
                <c:pt idx="78">
                  <c:v>30.09.2014.</c:v>
                </c:pt>
                <c:pt idx="79">
                  <c:v>31.10.2014.</c:v>
                </c:pt>
                <c:pt idx="80">
                  <c:v>30.11.2014.</c:v>
                </c:pt>
                <c:pt idx="81">
                  <c:v>30.12.2014.</c:v>
                </c:pt>
              </c:strCache>
            </c:strRef>
          </c:cat>
          <c:val>
            <c:numRef>
              <c:f>'[Pregled broja djelanika po godinama (2).xlsx]Sheet1'!$F$14:$CI$14</c:f>
              <c:numCache>
                <c:formatCode>General</c:formatCode>
                <c:ptCount val="82"/>
                <c:pt idx="0">
                  <c:v>7</c:v>
                </c:pt>
                <c:pt idx="1">
                  <c:v>7</c:v>
                </c:pt>
                <c:pt idx="2">
                  <c:v>7</c:v>
                </c:pt>
                <c:pt idx="3">
                  <c:v>7</c:v>
                </c:pt>
                <c:pt idx="4">
                  <c:v>7</c:v>
                </c:pt>
                <c:pt idx="5">
                  <c:v>9</c:v>
                </c:pt>
                <c:pt idx="6">
                  <c:v>11</c:v>
                </c:pt>
                <c:pt idx="7">
                  <c:v>11</c:v>
                </c:pt>
                <c:pt idx="8">
                  <c:v>11</c:v>
                </c:pt>
                <c:pt idx="9">
                  <c:v>13</c:v>
                </c:pt>
                <c:pt idx="10">
                  <c:v>14</c:v>
                </c:pt>
                <c:pt idx="11">
                  <c:v>15</c:v>
                </c:pt>
                <c:pt idx="12">
                  <c:v>16</c:v>
                </c:pt>
                <c:pt idx="13">
                  <c:v>17</c:v>
                </c:pt>
                <c:pt idx="14">
                  <c:v>17</c:v>
                </c:pt>
                <c:pt idx="15">
                  <c:v>19</c:v>
                </c:pt>
                <c:pt idx="16">
                  <c:v>19</c:v>
                </c:pt>
                <c:pt idx="17">
                  <c:v>19</c:v>
                </c:pt>
                <c:pt idx="18">
                  <c:v>19</c:v>
                </c:pt>
                <c:pt idx="19">
                  <c:v>19</c:v>
                </c:pt>
                <c:pt idx="20">
                  <c:v>19</c:v>
                </c:pt>
                <c:pt idx="21">
                  <c:v>19</c:v>
                </c:pt>
                <c:pt idx="22">
                  <c:v>19</c:v>
                </c:pt>
                <c:pt idx="23">
                  <c:v>23</c:v>
                </c:pt>
                <c:pt idx="24">
                  <c:v>23</c:v>
                </c:pt>
                <c:pt idx="25">
                  <c:v>24</c:v>
                </c:pt>
                <c:pt idx="26">
                  <c:v>24</c:v>
                </c:pt>
                <c:pt idx="27">
                  <c:v>24</c:v>
                </c:pt>
                <c:pt idx="28">
                  <c:v>25</c:v>
                </c:pt>
                <c:pt idx="29">
                  <c:v>25</c:v>
                </c:pt>
                <c:pt idx="30">
                  <c:v>28</c:v>
                </c:pt>
                <c:pt idx="31">
                  <c:v>28</c:v>
                </c:pt>
                <c:pt idx="32">
                  <c:v>28</c:v>
                </c:pt>
                <c:pt idx="33">
                  <c:v>28</c:v>
                </c:pt>
                <c:pt idx="34">
                  <c:v>32</c:v>
                </c:pt>
                <c:pt idx="35">
                  <c:v>32</c:v>
                </c:pt>
                <c:pt idx="36">
                  <c:v>32</c:v>
                </c:pt>
                <c:pt idx="37">
                  <c:v>35</c:v>
                </c:pt>
                <c:pt idx="38">
                  <c:v>36</c:v>
                </c:pt>
                <c:pt idx="39">
                  <c:v>36</c:v>
                </c:pt>
                <c:pt idx="40">
                  <c:v>37</c:v>
                </c:pt>
                <c:pt idx="41">
                  <c:v>41</c:v>
                </c:pt>
                <c:pt idx="42">
                  <c:v>42</c:v>
                </c:pt>
                <c:pt idx="43">
                  <c:v>41</c:v>
                </c:pt>
                <c:pt idx="44">
                  <c:v>39</c:v>
                </c:pt>
                <c:pt idx="45">
                  <c:v>48</c:v>
                </c:pt>
                <c:pt idx="46">
                  <c:v>48</c:v>
                </c:pt>
                <c:pt idx="47">
                  <c:v>48</c:v>
                </c:pt>
                <c:pt idx="48">
                  <c:v>47</c:v>
                </c:pt>
                <c:pt idx="49">
                  <c:v>47</c:v>
                </c:pt>
                <c:pt idx="50">
                  <c:v>47</c:v>
                </c:pt>
                <c:pt idx="51">
                  <c:v>48</c:v>
                </c:pt>
                <c:pt idx="52">
                  <c:v>53</c:v>
                </c:pt>
                <c:pt idx="53">
                  <c:v>52</c:v>
                </c:pt>
                <c:pt idx="54">
                  <c:v>48</c:v>
                </c:pt>
                <c:pt idx="55">
                  <c:v>49</c:v>
                </c:pt>
                <c:pt idx="56">
                  <c:v>49</c:v>
                </c:pt>
                <c:pt idx="57">
                  <c:v>49</c:v>
                </c:pt>
                <c:pt idx="58">
                  <c:v>49</c:v>
                </c:pt>
                <c:pt idx="59">
                  <c:v>48</c:v>
                </c:pt>
                <c:pt idx="60">
                  <c:v>53</c:v>
                </c:pt>
                <c:pt idx="61">
                  <c:v>55</c:v>
                </c:pt>
                <c:pt idx="62">
                  <c:v>57</c:v>
                </c:pt>
                <c:pt idx="63">
                  <c:v>65</c:v>
                </c:pt>
                <c:pt idx="64">
                  <c:v>67</c:v>
                </c:pt>
                <c:pt idx="65">
                  <c:v>67</c:v>
                </c:pt>
                <c:pt idx="66">
                  <c:v>67</c:v>
                </c:pt>
                <c:pt idx="67">
                  <c:v>67</c:v>
                </c:pt>
                <c:pt idx="68">
                  <c:v>67</c:v>
                </c:pt>
                <c:pt idx="69">
                  <c:v>65</c:v>
                </c:pt>
                <c:pt idx="70">
                  <c:v>66</c:v>
                </c:pt>
                <c:pt idx="71">
                  <c:v>71</c:v>
                </c:pt>
                <c:pt idx="72">
                  <c:v>70</c:v>
                </c:pt>
                <c:pt idx="73">
                  <c:v>68</c:v>
                </c:pt>
                <c:pt idx="74">
                  <c:v>71</c:v>
                </c:pt>
                <c:pt idx="75">
                  <c:v>71</c:v>
                </c:pt>
                <c:pt idx="76">
                  <c:v>70</c:v>
                </c:pt>
                <c:pt idx="77">
                  <c:v>72</c:v>
                </c:pt>
                <c:pt idx="78">
                  <c:v>71</c:v>
                </c:pt>
                <c:pt idx="79">
                  <c:v>72</c:v>
                </c:pt>
                <c:pt idx="80">
                  <c:v>79</c:v>
                </c:pt>
                <c:pt idx="81">
                  <c:v>77</c:v>
                </c:pt>
              </c:numCache>
            </c:numRef>
          </c:val>
          <c:smooth val="0"/>
        </c:ser>
        <c:ser>
          <c:idx val="1"/>
          <c:order val="1"/>
          <c:cat>
            <c:strRef>
              <c:f>'[Pregled broja djelanika po godinama (2).xlsx]Sheet1'!$F$13:$CI$13</c:f>
              <c:strCache>
                <c:ptCount val="82"/>
                <c:pt idx="0">
                  <c:v>31.3.2008</c:v>
                </c:pt>
                <c:pt idx="1">
                  <c:v>30.4.2008</c:v>
                </c:pt>
                <c:pt idx="2">
                  <c:v>31.5.2008</c:v>
                </c:pt>
                <c:pt idx="3">
                  <c:v>30.6.2008</c:v>
                </c:pt>
                <c:pt idx="4">
                  <c:v>31.7.2008</c:v>
                </c:pt>
                <c:pt idx="5">
                  <c:v>31.8.2008</c:v>
                </c:pt>
                <c:pt idx="6">
                  <c:v>30.9.2008</c:v>
                </c:pt>
                <c:pt idx="7">
                  <c:v>31.10.2008</c:v>
                </c:pt>
                <c:pt idx="8">
                  <c:v>30.11.2008</c:v>
                </c:pt>
                <c:pt idx="9">
                  <c:v>31.12.2008</c:v>
                </c:pt>
                <c:pt idx="10">
                  <c:v>31.1.2009</c:v>
                </c:pt>
                <c:pt idx="11">
                  <c:v>28.2.2009</c:v>
                </c:pt>
                <c:pt idx="12">
                  <c:v>31.3.2009</c:v>
                </c:pt>
                <c:pt idx="13">
                  <c:v>30.4.2009</c:v>
                </c:pt>
                <c:pt idx="14">
                  <c:v>31.5.2009</c:v>
                </c:pt>
                <c:pt idx="15">
                  <c:v>30.6.2009</c:v>
                </c:pt>
                <c:pt idx="16">
                  <c:v>31.7.2009</c:v>
                </c:pt>
                <c:pt idx="17">
                  <c:v>31.8.2009</c:v>
                </c:pt>
                <c:pt idx="18">
                  <c:v>30.9.2009</c:v>
                </c:pt>
                <c:pt idx="19">
                  <c:v>31.10.2009</c:v>
                </c:pt>
                <c:pt idx="20">
                  <c:v>30.11.2009</c:v>
                </c:pt>
                <c:pt idx="21">
                  <c:v>31.12.2009</c:v>
                </c:pt>
                <c:pt idx="22">
                  <c:v>31.1.2010</c:v>
                </c:pt>
                <c:pt idx="23">
                  <c:v>28.2.2010</c:v>
                </c:pt>
                <c:pt idx="24">
                  <c:v>31.3.2010</c:v>
                </c:pt>
                <c:pt idx="25">
                  <c:v>30.4.2010</c:v>
                </c:pt>
                <c:pt idx="26">
                  <c:v>31.5.2010</c:v>
                </c:pt>
                <c:pt idx="27">
                  <c:v>30.6.2010</c:v>
                </c:pt>
                <c:pt idx="28">
                  <c:v>31.7.2010</c:v>
                </c:pt>
                <c:pt idx="29">
                  <c:v>31.8.2010</c:v>
                </c:pt>
                <c:pt idx="30">
                  <c:v>30.9.2010</c:v>
                </c:pt>
                <c:pt idx="31">
                  <c:v>31.10.2010</c:v>
                </c:pt>
                <c:pt idx="32">
                  <c:v>30.11.2010</c:v>
                </c:pt>
                <c:pt idx="33">
                  <c:v>31.12.2010</c:v>
                </c:pt>
                <c:pt idx="34">
                  <c:v>31.1.2011</c:v>
                </c:pt>
                <c:pt idx="35">
                  <c:v>28.2.2011</c:v>
                </c:pt>
                <c:pt idx="36">
                  <c:v>31.3.2011</c:v>
                </c:pt>
                <c:pt idx="37">
                  <c:v>30.4.2011</c:v>
                </c:pt>
                <c:pt idx="38">
                  <c:v>31.5.2011</c:v>
                </c:pt>
                <c:pt idx="39">
                  <c:v>30.6.2011</c:v>
                </c:pt>
                <c:pt idx="40">
                  <c:v>31.7.2011</c:v>
                </c:pt>
                <c:pt idx="41">
                  <c:v>31.8.2011</c:v>
                </c:pt>
                <c:pt idx="42">
                  <c:v>30.9.2011</c:v>
                </c:pt>
                <c:pt idx="43">
                  <c:v>31.10.2011</c:v>
                </c:pt>
                <c:pt idx="44">
                  <c:v>30.11.2011</c:v>
                </c:pt>
                <c:pt idx="45">
                  <c:v>31.12.2011</c:v>
                </c:pt>
                <c:pt idx="46">
                  <c:v>31.1.2012</c:v>
                </c:pt>
                <c:pt idx="47">
                  <c:v>29.2.2012</c:v>
                </c:pt>
                <c:pt idx="48">
                  <c:v>31.3.2012</c:v>
                </c:pt>
                <c:pt idx="49">
                  <c:v>30.4.2012</c:v>
                </c:pt>
                <c:pt idx="50">
                  <c:v>31.5.2012</c:v>
                </c:pt>
                <c:pt idx="51">
                  <c:v>30.6.2012</c:v>
                </c:pt>
                <c:pt idx="52">
                  <c:v>31.7.2012</c:v>
                </c:pt>
                <c:pt idx="53">
                  <c:v>31.8.2012</c:v>
                </c:pt>
                <c:pt idx="54">
                  <c:v>30.9.2012</c:v>
                </c:pt>
                <c:pt idx="55">
                  <c:v>31.10.2012</c:v>
                </c:pt>
                <c:pt idx="56">
                  <c:v>30.11.2012</c:v>
                </c:pt>
                <c:pt idx="57">
                  <c:v>31.12.2012</c:v>
                </c:pt>
                <c:pt idx="58">
                  <c:v>31.1.2013</c:v>
                </c:pt>
                <c:pt idx="59">
                  <c:v>28.2.2013</c:v>
                </c:pt>
                <c:pt idx="60">
                  <c:v>31.3.2013</c:v>
                </c:pt>
                <c:pt idx="61">
                  <c:v>30.4.2013</c:v>
                </c:pt>
                <c:pt idx="62">
                  <c:v>31.5.2013</c:v>
                </c:pt>
                <c:pt idx="63">
                  <c:v>30.6.2013</c:v>
                </c:pt>
                <c:pt idx="64">
                  <c:v>31.7.2013</c:v>
                </c:pt>
                <c:pt idx="65">
                  <c:v>31.8.2013</c:v>
                </c:pt>
                <c:pt idx="66">
                  <c:v>30.9.2013</c:v>
                </c:pt>
                <c:pt idx="67">
                  <c:v>31.10.2013</c:v>
                </c:pt>
                <c:pt idx="68">
                  <c:v>30.11.2013</c:v>
                </c:pt>
                <c:pt idx="69">
                  <c:v>31.12.2013</c:v>
                </c:pt>
                <c:pt idx="70">
                  <c:v>31.01.2014.</c:v>
                </c:pt>
                <c:pt idx="71">
                  <c:v>28.02.2014.</c:v>
                </c:pt>
                <c:pt idx="72">
                  <c:v>31.03.2014.</c:v>
                </c:pt>
                <c:pt idx="73">
                  <c:v>30.04.2014.</c:v>
                </c:pt>
                <c:pt idx="74">
                  <c:v>31.05.2014.</c:v>
                </c:pt>
                <c:pt idx="75">
                  <c:v>31.06.2014.</c:v>
                </c:pt>
                <c:pt idx="76">
                  <c:v>31.07.2014.</c:v>
                </c:pt>
                <c:pt idx="77">
                  <c:v>31.08.2014.</c:v>
                </c:pt>
                <c:pt idx="78">
                  <c:v>30.09.2014.</c:v>
                </c:pt>
                <c:pt idx="79">
                  <c:v>31.10.2014.</c:v>
                </c:pt>
                <c:pt idx="80">
                  <c:v>30.11.2014.</c:v>
                </c:pt>
                <c:pt idx="81">
                  <c:v>30.12.2014.</c:v>
                </c:pt>
              </c:strCache>
            </c:strRef>
          </c:cat>
          <c:val>
            <c:numRef>
              <c:f>'[Pregled broja djelanika po godinama (2).xlsx]Sheet1'!$F$15:$CI$15</c:f>
              <c:numCache>
                <c:formatCode>General</c:formatCode>
                <c:ptCount val="82"/>
                <c:pt idx="0">
                  <c:v>7</c:v>
                </c:pt>
                <c:pt idx="1">
                  <c:v>7</c:v>
                </c:pt>
                <c:pt idx="2">
                  <c:v>7</c:v>
                </c:pt>
                <c:pt idx="3">
                  <c:v>7</c:v>
                </c:pt>
                <c:pt idx="4">
                  <c:v>7</c:v>
                </c:pt>
                <c:pt idx="5">
                  <c:v>9</c:v>
                </c:pt>
                <c:pt idx="6">
                  <c:v>11</c:v>
                </c:pt>
                <c:pt idx="7">
                  <c:v>11</c:v>
                </c:pt>
                <c:pt idx="8">
                  <c:v>11</c:v>
                </c:pt>
                <c:pt idx="9">
                  <c:v>13</c:v>
                </c:pt>
                <c:pt idx="10">
                  <c:v>14</c:v>
                </c:pt>
                <c:pt idx="11">
                  <c:v>15</c:v>
                </c:pt>
                <c:pt idx="12">
                  <c:v>16</c:v>
                </c:pt>
                <c:pt idx="13">
                  <c:v>17</c:v>
                </c:pt>
                <c:pt idx="14">
                  <c:v>17</c:v>
                </c:pt>
                <c:pt idx="15">
                  <c:v>19</c:v>
                </c:pt>
                <c:pt idx="16">
                  <c:v>19</c:v>
                </c:pt>
                <c:pt idx="17">
                  <c:v>19</c:v>
                </c:pt>
                <c:pt idx="18">
                  <c:v>19</c:v>
                </c:pt>
                <c:pt idx="19">
                  <c:v>19</c:v>
                </c:pt>
                <c:pt idx="20">
                  <c:v>19</c:v>
                </c:pt>
                <c:pt idx="21">
                  <c:v>19</c:v>
                </c:pt>
                <c:pt idx="22">
                  <c:v>19</c:v>
                </c:pt>
                <c:pt idx="23">
                  <c:v>23</c:v>
                </c:pt>
                <c:pt idx="24">
                  <c:v>23</c:v>
                </c:pt>
                <c:pt idx="25">
                  <c:v>24</c:v>
                </c:pt>
                <c:pt idx="26">
                  <c:v>24</c:v>
                </c:pt>
                <c:pt idx="27">
                  <c:v>24</c:v>
                </c:pt>
                <c:pt idx="28">
                  <c:v>25</c:v>
                </c:pt>
                <c:pt idx="29">
                  <c:v>25</c:v>
                </c:pt>
                <c:pt idx="30">
                  <c:v>28</c:v>
                </c:pt>
                <c:pt idx="31">
                  <c:v>28</c:v>
                </c:pt>
                <c:pt idx="32">
                  <c:v>28</c:v>
                </c:pt>
                <c:pt idx="33">
                  <c:v>28</c:v>
                </c:pt>
                <c:pt idx="34">
                  <c:v>32</c:v>
                </c:pt>
                <c:pt idx="35">
                  <c:v>32</c:v>
                </c:pt>
                <c:pt idx="36">
                  <c:v>32</c:v>
                </c:pt>
                <c:pt idx="37">
                  <c:v>35</c:v>
                </c:pt>
                <c:pt idx="38">
                  <c:v>36</c:v>
                </c:pt>
                <c:pt idx="39">
                  <c:v>36</c:v>
                </c:pt>
                <c:pt idx="40">
                  <c:v>37</c:v>
                </c:pt>
                <c:pt idx="41">
                  <c:v>41</c:v>
                </c:pt>
                <c:pt idx="42">
                  <c:v>42</c:v>
                </c:pt>
                <c:pt idx="43">
                  <c:v>41</c:v>
                </c:pt>
                <c:pt idx="44">
                  <c:v>39</c:v>
                </c:pt>
                <c:pt idx="45">
                  <c:v>48</c:v>
                </c:pt>
                <c:pt idx="46">
                  <c:v>48</c:v>
                </c:pt>
                <c:pt idx="47">
                  <c:v>48</c:v>
                </c:pt>
                <c:pt idx="48">
                  <c:v>47</c:v>
                </c:pt>
                <c:pt idx="49">
                  <c:v>47</c:v>
                </c:pt>
                <c:pt idx="50">
                  <c:v>47</c:v>
                </c:pt>
                <c:pt idx="51">
                  <c:v>48</c:v>
                </c:pt>
                <c:pt idx="52">
                  <c:v>53</c:v>
                </c:pt>
                <c:pt idx="53">
                  <c:v>52</c:v>
                </c:pt>
                <c:pt idx="54">
                  <c:v>48</c:v>
                </c:pt>
                <c:pt idx="55">
                  <c:v>49</c:v>
                </c:pt>
                <c:pt idx="56">
                  <c:v>49</c:v>
                </c:pt>
                <c:pt idx="57">
                  <c:v>49</c:v>
                </c:pt>
                <c:pt idx="58">
                  <c:v>49</c:v>
                </c:pt>
                <c:pt idx="59">
                  <c:v>48</c:v>
                </c:pt>
                <c:pt idx="60">
                  <c:v>53</c:v>
                </c:pt>
                <c:pt idx="61">
                  <c:v>55</c:v>
                </c:pt>
                <c:pt idx="62">
                  <c:v>57</c:v>
                </c:pt>
                <c:pt idx="63">
                  <c:v>65</c:v>
                </c:pt>
                <c:pt idx="64">
                  <c:v>67</c:v>
                </c:pt>
                <c:pt idx="65">
                  <c:v>67</c:v>
                </c:pt>
                <c:pt idx="66">
                  <c:v>67</c:v>
                </c:pt>
                <c:pt idx="67">
                  <c:v>67</c:v>
                </c:pt>
                <c:pt idx="68">
                  <c:v>67</c:v>
                </c:pt>
                <c:pt idx="69">
                  <c:v>65</c:v>
                </c:pt>
                <c:pt idx="70">
                  <c:v>66</c:v>
                </c:pt>
                <c:pt idx="71">
                  <c:v>71</c:v>
                </c:pt>
                <c:pt idx="72">
                  <c:v>70</c:v>
                </c:pt>
                <c:pt idx="73">
                  <c:v>68</c:v>
                </c:pt>
                <c:pt idx="74">
                  <c:v>71</c:v>
                </c:pt>
                <c:pt idx="75">
                  <c:v>71</c:v>
                </c:pt>
                <c:pt idx="76">
                  <c:v>70</c:v>
                </c:pt>
                <c:pt idx="77">
                  <c:v>72</c:v>
                </c:pt>
                <c:pt idx="78">
                  <c:v>71</c:v>
                </c:pt>
                <c:pt idx="80">
                  <c:v>79</c:v>
                </c:pt>
              </c:numCache>
            </c:numRef>
          </c:val>
          <c:smooth val="0"/>
        </c:ser>
        <c:ser>
          <c:idx val="2"/>
          <c:order val="2"/>
          <c:cat>
            <c:strRef>
              <c:f>'[Pregled broja djelanika po godinama (2).xlsx]Sheet1'!$F$13:$CI$13</c:f>
              <c:strCache>
                <c:ptCount val="82"/>
                <c:pt idx="0">
                  <c:v>31.3.2008</c:v>
                </c:pt>
                <c:pt idx="1">
                  <c:v>30.4.2008</c:v>
                </c:pt>
                <c:pt idx="2">
                  <c:v>31.5.2008</c:v>
                </c:pt>
                <c:pt idx="3">
                  <c:v>30.6.2008</c:v>
                </c:pt>
                <c:pt idx="4">
                  <c:v>31.7.2008</c:v>
                </c:pt>
                <c:pt idx="5">
                  <c:v>31.8.2008</c:v>
                </c:pt>
                <c:pt idx="6">
                  <c:v>30.9.2008</c:v>
                </c:pt>
                <c:pt idx="7">
                  <c:v>31.10.2008</c:v>
                </c:pt>
                <c:pt idx="8">
                  <c:v>30.11.2008</c:v>
                </c:pt>
                <c:pt idx="9">
                  <c:v>31.12.2008</c:v>
                </c:pt>
                <c:pt idx="10">
                  <c:v>31.1.2009</c:v>
                </c:pt>
                <c:pt idx="11">
                  <c:v>28.2.2009</c:v>
                </c:pt>
                <c:pt idx="12">
                  <c:v>31.3.2009</c:v>
                </c:pt>
                <c:pt idx="13">
                  <c:v>30.4.2009</c:v>
                </c:pt>
                <c:pt idx="14">
                  <c:v>31.5.2009</c:v>
                </c:pt>
                <c:pt idx="15">
                  <c:v>30.6.2009</c:v>
                </c:pt>
                <c:pt idx="16">
                  <c:v>31.7.2009</c:v>
                </c:pt>
                <c:pt idx="17">
                  <c:v>31.8.2009</c:v>
                </c:pt>
                <c:pt idx="18">
                  <c:v>30.9.2009</c:v>
                </c:pt>
                <c:pt idx="19">
                  <c:v>31.10.2009</c:v>
                </c:pt>
                <c:pt idx="20">
                  <c:v>30.11.2009</c:v>
                </c:pt>
                <c:pt idx="21">
                  <c:v>31.12.2009</c:v>
                </c:pt>
                <c:pt idx="22">
                  <c:v>31.1.2010</c:v>
                </c:pt>
                <c:pt idx="23">
                  <c:v>28.2.2010</c:v>
                </c:pt>
                <c:pt idx="24">
                  <c:v>31.3.2010</c:v>
                </c:pt>
                <c:pt idx="25">
                  <c:v>30.4.2010</c:v>
                </c:pt>
                <c:pt idx="26">
                  <c:v>31.5.2010</c:v>
                </c:pt>
                <c:pt idx="27">
                  <c:v>30.6.2010</c:v>
                </c:pt>
                <c:pt idx="28">
                  <c:v>31.7.2010</c:v>
                </c:pt>
                <c:pt idx="29">
                  <c:v>31.8.2010</c:v>
                </c:pt>
                <c:pt idx="30">
                  <c:v>30.9.2010</c:v>
                </c:pt>
                <c:pt idx="31">
                  <c:v>31.10.2010</c:v>
                </c:pt>
                <c:pt idx="32">
                  <c:v>30.11.2010</c:v>
                </c:pt>
                <c:pt idx="33">
                  <c:v>31.12.2010</c:v>
                </c:pt>
                <c:pt idx="34">
                  <c:v>31.1.2011</c:v>
                </c:pt>
                <c:pt idx="35">
                  <c:v>28.2.2011</c:v>
                </c:pt>
                <c:pt idx="36">
                  <c:v>31.3.2011</c:v>
                </c:pt>
                <c:pt idx="37">
                  <c:v>30.4.2011</c:v>
                </c:pt>
                <c:pt idx="38">
                  <c:v>31.5.2011</c:v>
                </c:pt>
                <c:pt idx="39">
                  <c:v>30.6.2011</c:v>
                </c:pt>
                <c:pt idx="40">
                  <c:v>31.7.2011</c:v>
                </c:pt>
                <c:pt idx="41">
                  <c:v>31.8.2011</c:v>
                </c:pt>
                <c:pt idx="42">
                  <c:v>30.9.2011</c:v>
                </c:pt>
                <c:pt idx="43">
                  <c:v>31.10.2011</c:v>
                </c:pt>
                <c:pt idx="44">
                  <c:v>30.11.2011</c:v>
                </c:pt>
                <c:pt idx="45">
                  <c:v>31.12.2011</c:v>
                </c:pt>
                <c:pt idx="46">
                  <c:v>31.1.2012</c:v>
                </c:pt>
                <c:pt idx="47">
                  <c:v>29.2.2012</c:v>
                </c:pt>
                <c:pt idx="48">
                  <c:v>31.3.2012</c:v>
                </c:pt>
                <c:pt idx="49">
                  <c:v>30.4.2012</c:v>
                </c:pt>
                <c:pt idx="50">
                  <c:v>31.5.2012</c:v>
                </c:pt>
                <c:pt idx="51">
                  <c:v>30.6.2012</c:v>
                </c:pt>
                <c:pt idx="52">
                  <c:v>31.7.2012</c:v>
                </c:pt>
                <c:pt idx="53">
                  <c:v>31.8.2012</c:v>
                </c:pt>
                <c:pt idx="54">
                  <c:v>30.9.2012</c:v>
                </c:pt>
                <c:pt idx="55">
                  <c:v>31.10.2012</c:v>
                </c:pt>
                <c:pt idx="56">
                  <c:v>30.11.2012</c:v>
                </c:pt>
                <c:pt idx="57">
                  <c:v>31.12.2012</c:v>
                </c:pt>
                <c:pt idx="58">
                  <c:v>31.1.2013</c:v>
                </c:pt>
                <c:pt idx="59">
                  <c:v>28.2.2013</c:v>
                </c:pt>
                <c:pt idx="60">
                  <c:v>31.3.2013</c:v>
                </c:pt>
                <c:pt idx="61">
                  <c:v>30.4.2013</c:v>
                </c:pt>
                <c:pt idx="62">
                  <c:v>31.5.2013</c:v>
                </c:pt>
                <c:pt idx="63">
                  <c:v>30.6.2013</c:v>
                </c:pt>
                <c:pt idx="64">
                  <c:v>31.7.2013</c:v>
                </c:pt>
                <c:pt idx="65">
                  <c:v>31.8.2013</c:v>
                </c:pt>
                <c:pt idx="66">
                  <c:v>30.9.2013</c:v>
                </c:pt>
                <c:pt idx="67">
                  <c:v>31.10.2013</c:v>
                </c:pt>
                <c:pt idx="68">
                  <c:v>30.11.2013</c:v>
                </c:pt>
                <c:pt idx="69">
                  <c:v>31.12.2013</c:v>
                </c:pt>
                <c:pt idx="70">
                  <c:v>31.01.2014.</c:v>
                </c:pt>
                <c:pt idx="71">
                  <c:v>28.02.2014.</c:v>
                </c:pt>
                <c:pt idx="72">
                  <c:v>31.03.2014.</c:v>
                </c:pt>
                <c:pt idx="73">
                  <c:v>30.04.2014.</c:v>
                </c:pt>
                <c:pt idx="74">
                  <c:v>31.05.2014.</c:v>
                </c:pt>
                <c:pt idx="75">
                  <c:v>31.06.2014.</c:v>
                </c:pt>
                <c:pt idx="76">
                  <c:v>31.07.2014.</c:v>
                </c:pt>
                <c:pt idx="77">
                  <c:v>31.08.2014.</c:v>
                </c:pt>
                <c:pt idx="78">
                  <c:v>30.09.2014.</c:v>
                </c:pt>
                <c:pt idx="79">
                  <c:v>31.10.2014.</c:v>
                </c:pt>
                <c:pt idx="80">
                  <c:v>30.11.2014.</c:v>
                </c:pt>
                <c:pt idx="81">
                  <c:v>30.12.2014.</c:v>
                </c:pt>
              </c:strCache>
            </c:strRef>
          </c:cat>
          <c:val>
            <c:numRef>
              <c:f>'[Pregled broja djelanika po godinama (2).xlsx]Sheet1'!$F$16:$CI$16</c:f>
              <c:numCache>
                <c:formatCode>General</c:formatCode>
                <c:ptCount val="82"/>
                <c:pt idx="0">
                  <c:v>7</c:v>
                </c:pt>
                <c:pt idx="1">
                  <c:v>7</c:v>
                </c:pt>
                <c:pt idx="2">
                  <c:v>7</c:v>
                </c:pt>
                <c:pt idx="3">
                  <c:v>7</c:v>
                </c:pt>
                <c:pt idx="4">
                  <c:v>7</c:v>
                </c:pt>
                <c:pt idx="5">
                  <c:v>9</c:v>
                </c:pt>
                <c:pt idx="6">
                  <c:v>11</c:v>
                </c:pt>
                <c:pt idx="7">
                  <c:v>11</c:v>
                </c:pt>
                <c:pt idx="8">
                  <c:v>11</c:v>
                </c:pt>
                <c:pt idx="9">
                  <c:v>13</c:v>
                </c:pt>
                <c:pt idx="10">
                  <c:v>14</c:v>
                </c:pt>
                <c:pt idx="11">
                  <c:v>15</c:v>
                </c:pt>
                <c:pt idx="12">
                  <c:v>16</c:v>
                </c:pt>
                <c:pt idx="13">
                  <c:v>17</c:v>
                </c:pt>
                <c:pt idx="14">
                  <c:v>17</c:v>
                </c:pt>
                <c:pt idx="15">
                  <c:v>19</c:v>
                </c:pt>
                <c:pt idx="16">
                  <c:v>19</c:v>
                </c:pt>
                <c:pt idx="17">
                  <c:v>19</c:v>
                </c:pt>
                <c:pt idx="18">
                  <c:v>19</c:v>
                </c:pt>
                <c:pt idx="19">
                  <c:v>19</c:v>
                </c:pt>
                <c:pt idx="20">
                  <c:v>19</c:v>
                </c:pt>
                <c:pt idx="21">
                  <c:v>19</c:v>
                </c:pt>
                <c:pt idx="22">
                  <c:v>19</c:v>
                </c:pt>
                <c:pt idx="23">
                  <c:v>23</c:v>
                </c:pt>
                <c:pt idx="24">
                  <c:v>23</c:v>
                </c:pt>
                <c:pt idx="25">
                  <c:v>24</c:v>
                </c:pt>
                <c:pt idx="26">
                  <c:v>24</c:v>
                </c:pt>
                <c:pt idx="27">
                  <c:v>24</c:v>
                </c:pt>
                <c:pt idx="28">
                  <c:v>25</c:v>
                </c:pt>
                <c:pt idx="29">
                  <c:v>25</c:v>
                </c:pt>
                <c:pt idx="30">
                  <c:v>28</c:v>
                </c:pt>
                <c:pt idx="31">
                  <c:v>28</c:v>
                </c:pt>
                <c:pt idx="32">
                  <c:v>28</c:v>
                </c:pt>
                <c:pt idx="33">
                  <c:v>28</c:v>
                </c:pt>
                <c:pt idx="34">
                  <c:v>32</c:v>
                </c:pt>
                <c:pt idx="35">
                  <c:v>32</c:v>
                </c:pt>
                <c:pt idx="36">
                  <c:v>32</c:v>
                </c:pt>
                <c:pt idx="37">
                  <c:v>35</c:v>
                </c:pt>
                <c:pt idx="38">
                  <c:v>36</c:v>
                </c:pt>
                <c:pt idx="39">
                  <c:v>36</c:v>
                </c:pt>
                <c:pt idx="40">
                  <c:v>37</c:v>
                </c:pt>
                <c:pt idx="41">
                  <c:v>41</c:v>
                </c:pt>
                <c:pt idx="42">
                  <c:v>42</c:v>
                </c:pt>
                <c:pt idx="43">
                  <c:v>41</c:v>
                </c:pt>
                <c:pt idx="44">
                  <c:v>39</c:v>
                </c:pt>
                <c:pt idx="45">
                  <c:v>48</c:v>
                </c:pt>
                <c:pt idx="46">
                  <c:v>48</c:v>
                </c:pt>
                <c:pt idx="47">
                  <c:v>48</c:v>
                </c:pt>
                <c:pt idx="48">
                  <c:v>47</c:v>
                </c:pt>
                <c:pt idx="49">
                  <c:v>47</c:v>
                </c:pt>
                <c:pt idx="50">
                  <c:v>47</c:v>
                </c:pt>
                <c:pt idx="51">
                  <c:v>48</c:v>
                </c:pt>
                <c:pt idx="52">
                  <c:v>53</c:v>
                </c:pt>
                <c:pt idx="53">
                  <c:v>52</c:v>
                </c:pt>
                <c:pt idx="54">
                  <c:v>48</c:v>
                </c:pt>
                <c:pt idx="55">
                  <c:v>49</c:v>
                </c:pt>
                <c:pt idx="56">
                  <c:v>49</c:v>
                </c:pt>
                <c:pt idx="57">
                  <c:v>49</c:v>
                </c:pt>
                <c:pt idx="58">
                  <c:v>49</c:v>
                </c:pt>
                <c:pt idx="59">
                  <c:v>48</c:v>
                </c:pt>
                <c:pt idx="60">
                  <c:v>53</c:v>
                </c:pt>
                <c:pt idx="61">
                  <c:v>55</c:v>
                </c:pt>
                <c:pt idx="62">
                  <c:v>57</c:v>
                </c:pt>
                <c:pt idx="63">
                  <c:v>65</c:v>
                </c:pt>
                <c:pt idx="64">
                  <c:v>67</c:v>
                </c:pt>
                <c:pt idx="65">
                  <c:v>67</c:v>
                </c:pt>
                <c:pt idx="66">
                  <c:v>67</c:v>
                </c:pt>
                <c:pt idx="67">
                  <c:v>67</c:v>
                </c:pt>
                <c:pt idx="68">
                  <c:v>67</c:v>
                </c:pt>
                <c:pt idx="69">
                  <c:v>65</c:v>
                </c:pt>
                <c:pt idx="70">
                  <c:v>66</c:v>
                </c:pt>
                <c:pt idx="71">
                  <c:v>71</c:v>
                </c:pt>
                <c:pt idx="72">
                  <c:v>70</c:v>
                </c:pt>
                <c:pt idx="73">
                  <c:v>68</c:v>
                </c:pt>
                <c:pt idx="74">
                  <c:v>71</c:v>
                </c:pt>
                <c:pt idx="75">
                  <c:v>71</c:v>
                </c:pt>
                <c:pt idx="76">
                  <c:v>70</c:v>
                </c:pt>
                <c:pt idx="77">
                  <c:v>72</c:v>
                </c:pt>
                <c:pt idx="78">
                  <c:v>71</c:v>
                </c:pt>
                <c:pt idx="80">
                  <c:v>79</c:v>
                </c:pt>
              </c:numCache>
            </c:numRef>
          </c:val>
          <c:smooth val="0"/>
        </c:ser>
        <c:ser>
          <c:idx val="3"/>
          <c:order val="3"/>
          <c:marker>
            <c:symbol val="none"/>
          </c:marker>
          <c:cat>
            <c:strRef>
              <c:f>'[Pregled broja djelanika po godinama (2).xlsx]Sheet1'!$F$13:$CI$13</c:f>
              <c:strCache>
                <c:ptCount val="82"/>
                <c:pt idx="0">
                  <c:v>31.3.2008</c:v>
                </c:pt>
                <c:pt idx="1">
                  <c:v>30.4.2008</c:v>
                </c:pt>
                <c:pt idx="2">
                  <c:v>31.5.2008</c:v>
                </c:pt>
                <c:pt idx="3">
                  <c:v>30.6.2008</c:v>
                </c:pt>
                <c:pt idx="4">
                  <c:v>31.7.2008</c:v>
                </c:pt>
                <c:pt idx="5">
                  <c:v>31.8.2008</c:v>
                </c:pt>
                <c:pt idx="6">
                  <c:v>30.9.2008</c:v>
                </c:pt>
                <c:pt idx="7">
                  <c:v>31.10.2008</c:v>
                </c:pt>
                <c:pt idx="8">
                  <c:v>30.11.2008</c:v>
                </c:pt>
                <c:pt idx="9">
                  <c:v>31.12.2008</c:v>
                </c:pt>
                <c:pt idx="10">
                  <c:v>31.1.2009</c:v>
                </c:pt>
                <c:pt idx="11">
                  <c:v>28.2.2009</c:v>
                </c:pt>
                <c:pt idx="12">
                  <c:v>31.3.2009</c:v>
                </c:pt>
                <c:pt idx="13">
                  <c:v>30.4.2009</c:v>
                </c:pt>
                <c:pt idx="14">
                  <c:v>31.5.2009</c:v>
                </c:pt>
                <c:pt idx="15">
                  <c:v>30.6.2009</c:v>
                </c:pt>
                <c:pt idx="16">
                  <c:v>31.7.2009</c:v>
                </c:pt>
                <c:pt idx="17">
                  <c:v>31.8.2009</c:v>
                </c:pt>
                <c:pt idx="18">
                  <c:v>30.9.2009</c:v>
                </c:pt>
                <c:pt idx="19">
                  <c:v>31.10.2009</c:v>
                </c:pt>
                <c:pt idx="20">
                  <c:v>30.11.2009</c:v>
                </c:pt>
                <c:pt idx="21">
                  <c:v>31.12.2009</c:v>
                </c:pt>
                <c:pt idx="22">
                  <c:v>31.1.2010</c:v>
                </c:pt>
                <c:pt idx="23">
                  <c:v>28.2.2010</c:v>
                </c:pt>
                <c:pt idx="24">
                  <c:v>31.3.2010</c:v>
                </c:pt>
                <c:pt idx="25">
                  <c:v>30.4.2010</c:v>
                </c:pt>
                <c:pt idx="26">
                  <c:v>31.5.2010</c:v>
                </c:pt>
                <c:pt idx="27">
                  <c:v>30.6.2010</c:v>
                </c:pt>
                <c:pt idx="28">
                  <c:v>31.7.2010</c:v>
                </c:pt>
                <c:pt idx="29">
                  <c:v>31.8.2010</c:v>
                </c:pt>
                <c:pt idx="30">
                  <c:v>30.9.2010</c:v>
                </c:pt>
                <c:pt idx="31">
                  <c:v>31.10.2010</c:v>
                </c:pt>
                <c:pt idx="32">
                  <c:v>30.11.2010</c:v>
                </c:pt>
                <c:pt idx="33">
                  <c:v>31.12.2010</c:v>
                </c:pt>
                <c:pt idx="34">
                  <c:v>31.1.2011</c:v>
                </c:pt>
                <c:pt idx="35">
                  <c:v>28.2.2011</c:v>
                </c:pt>
                <c:pt idx="36">
                  <c:v>31.3.2011</c:v>
                </c:pt>
                <c:pt idx="37">
                  <c:v>30.4.2011</c:v>
                </c:pt>
                <c:pt idx="38">
                  <c:v>31.5.2011</c:v>
                </c:pt>
                <c:pt idx="39">
                  <c:v>30.6.2011</c:v>
                </c:pt>
                <c:pt idx="40">
                  <c:v>31.7.2011</c:v>
                </c:pt>
                <c:pt idx="41">
                  <c:v>31.8.2011</c:v>
                </c:pt>
                <c:pt idx="42">
                  <c:v>30.9.2011</c:v>
                </c:pt>
                <c:pt idx="43">
                  <c:v>31.10.2011</c:v>
                </c:pt>
                <c:pt idx="44">
                  <c:v>30.11.2011</c:v>
                </c:pt>
                <c:pt idx="45">
                  <c:v>31.12.2011</c:v>
                </c:pt>
                <c:pt idx="46">
                  <c:v>31.1.2012</c:v>
                </c:pt>
                <c:pt idx="47">
                  <c:v>29.2.2012</c:v>
                </c:pt>
                <c:pt idx="48">
                  <c:v>31.3.2012</c:v>
                </c:pt>
                <c:pt idx="49">
                  <c:v>30.4.2012</c:v>
                </c:pt>
                <c:pt idx="50">
                  <c:v>31.5.2012</c:v>
                </c:pt>
                <c:pt idx="51">
                  <c:v>30.6.2012</c:v>
                </c:pt>
                <c:pt idx="52">
                  <c:v>31.7.2012</c:v>
                </c:pt>
                <c:pt idx="53">
                  <c:v>31.8.2012</c:v>
                </c:pt>
                <c:pt idx="54">
                  <c:v>30.9.2012</c:v>
                </c:pt>
                <c:pt idx="55">
                  <c:v>31.10.2012</c:v>
                </c:pt>
                <c:pt idx="56">
                  <c:v>30.11.2012</c:v>
                </c:pt>
                <c:pt idx="57">
                  <c:v>31.12.2012</c:v>
                </c:pt>
                <c:pt idx="58">
                  <c:v>31.1.2013</c:v>
                </c:pt>
                <c:pt idx="59">
                  <c:v>28.2.2013</c:v>
                </c:pt>
                <c:pt idx="60">
                  <c:v>31.3.2013</c:v>
                </c:pt>
                <c:pt idx="61">
                  <c:v>30.4.2013</c:v>
                </c:pt>
                <c:pt idx="62">
                  <c:v>31.5.2013</c:v>
                </c:pt>
                <c:pt idx="63">
                  <c:v>30.6.2013</c:v>
                </c:pt>
                <c:pt idx="64">
                  <c:v>31.7.2013</c:v>
                </c:pt>
                <c:pt idx="65">
                  <c:v>31.8.2013</c:v>
                </c:pt>
                <c:pt idx="66">
                  <c:v>30.9.2013</c:v>
                </c:pt>
                <c:pt idx="67">
                  <c:v>31.10.2013</c:v>
                </c:pt>
                <c:pt idx="68">
                  <c:v>30.11.2013</c:v>
                </c:pt>
                <c:pt idx="69">
                  <c:v>31.12.2013</c:v>
                </c:pt>
                <c:pt idx="70">
                  <c:v>31.01.2014.</c:v>
                </c:pt>
                <c:pt idx="71">
                  <c:v>28.02.2014.</c:v>
                </c:pt>
                <c:pt idx="72">
                  <c:v>31.03.2014.</c:v>
                </c:pt>
                <c:pt idx="73">
                  <c:v>30.04.2014.</c:v>
                </c:pt>
                <c:pt idx="74">
                  <c:v>31.05.2014.</c:v>
                </c:pt>
                <c:pt idx="75">
                  <c:v>31.06.2014.</c:v>
                </c:pt>
                <c:pt idx="76">
                  <c:v>31.07.2014.</c:v>
                </c:pt>
                <c:pt idx="77">
                  <c:v>31.08.2014.</c:v>
                </c:pt>
                <c:pt idx="78">
                  <c:v>30.09.2014.</c:v>
                </c:pt>
                <c:pt idx="79">
                  <c:v>31.10.2014.</c:v>
                </c:pt>
                <c:pt idx="80">
                  <c:v>30.11.2014.</c:v>
                </c:pt>
                <c:pt idx="81">
                  <c:v>30.12.2014.</c:v>
                </c:pt>
              </c:strCache>
            </c:strRef>
          </c:cat>
          <c:val>
            <c:numRef>
              <c:f>'[Pregled broja djelanika po godinama (2).xlsx]Sheet1'!$F$17:$CI$17</c:f>
              <c:numCache>
                <c:formatCode>General</c:formatCode>
                <c:ptCount val="82"/>
                <c:pt idx="0">
                  <c:v>7</c:v>
                </c:pt>
                <c:pt idx="1">
                  <c:v>7</c:v>
                </c:pt>
                <c:pt idx="2">
                  <c:v>7</c:v>
                </c:pt>
                <c:pt idx="3">
                  <c:v>7</c:v>
                </c:pt>
                <c:pt idx="4">
                  <c:v>7</c:v>
                </c:pt>
                <c:pt idx="5">
                  <c:v>9</c:v>
                </c:pt>
                <c:pt idx="6">
                  <c:v>11</c:v>
                </c:pt>
                <c:pt idx="7">
                  <c:v>11</c:v>
                </c:pt>
                <c:pt idx="8">
                  <c:v>11</c:v>
                </c:pt>
                <c:pt idx="9">
                  <c:v>13</c:v>
                </c:pt>
                <c:pt idx="10">
                  <c:v>14</c:v>
                </c:pt>
                <c:pt idx="11">
                  <c:v>15</c:v>
                </c:pt>
                <c:pt idx="12">
                  <c:v>16</c:v>
                </c:pt>
                <c:pt idx="13">
                  <c:v>17</c:v>
                </c:pt>
                <c:pt idx="14">
                  <c:v>17</c:v>
                </c:pt>
                <c:pt idx="15">
                  <c:v>19</c:v>
                </c:pt>
                <c:pt idx="16">
                  <c:v>19</c:v>
                </c:pt>
                <c:pt idx="17">
                  <c:v>19</c:v>
                </c:pt>
                <c:pt idx="18">
                  <c:v>19</c:v>
                </c:pt>
                <c:pt idx="19">
                  <c:v>19</c:v>
                </c:pt>
                <c:pt idx="20">
                  <c:v>19</c:v>
                </c:pt>
                <c:pt idx="21">
                  <c:v>19</c:v>
                </c:pt>
                <c:pt idx="22">
                  <c:v>19</c:v>
                </c:pt>
                <c:pt idx="23">
                  <c:v>23</c:v>
                </c:pt>
                <c:pt idx="24">
                  <c:v>23</c:v>
                </c:pt>
                <c:pt idx="25">
                  <c:v>24</c:v>
                </c:pt>
                <c:pt idx="26">
                  <c:v>24</c:v>
                </c:pt>
                <c:pt idx="27">
                  <c:v>24</c:v>
                </c:pt>
                <c:pt idx="28">
                  <c:v>25</c:v>
                </c:pt>
                <c:pt idx="29">
                  <c:v>25</c:v>
                </c:pt>
                <c:pt idx="30">
                  <c:v>28</c:v>
                </c:pt>
                <c:pt idx="31">
                  <c:v>28</c:v>
                </c:pt>
                <c:pt idx="32">
                  <c:v>28</c:v>
                </c:pt>
                <c:pt idx="33">
                  <c:v>28</c:v>
                </c:pt>
                <c:pt idx="34">
                  <c:v>32</c:v>
                </c:pt>
                <c:pt idx="35">
                  <c:v>32</c:v>
                </c:pt>
                <c:pt idx="36">
                  <c:v>32</c:v>
                </c:pt>
                <c:pt idx="37">
                  <c:v>35</c:v>
                </c:pt>
                <c:pt idx="38">
                  <c:v>36</c:v>
                </c:pt>
                <c:pt idx="39">
                  <c:v>36</c:v>
                </c:pt>
                <c:pt idx="40">
                  <c:v>37</c:v>
                </c:pt>
                <c:pt idx="41">
                  <c:v>41</c:v>
                </c:pt>
                <c:pt idx="42">
                  <c:v>42</c:v>
                </c:pt>
                <c:pt idx="43">
                  <c:v>41</c:v>
                </c:pt>
                <c:pt idx="44">
                  <c:v>39</c:v>
                </c:pt>
                <c:pt idx="45">
                  <c:v>48</c:v>
                </c:pt>
                <c:pt idx="46">
                  <c:v>48</c:v>
                </c:pt>
                <c:pt idx="47">
                  <c:v>48</c:v>
                </c:pt>
                <c:pt idx="48">
                  <c:v>47</c:v>
                </c:pt>
                <c:pt idx="49">
                  <c:v>47</c:v>
                </c:pt>
                <c:pt idx="50">
                  <c:v>47</c:v>
                </c:pt>
                <c:pt idx="51">
                  <c:v>48</c:v>
                </c:pt>
                <c:pt idx="52">
                  <c:v>53</c:v>
                </c:pt>
                <c:pt idx="53">
                  <c:v>52</c:v>
                </c:pt>
                <c:pt idx="54">
                  <c:v>48</c:v>
                </c:pt>
                <c:pt idx="55">
                  <c:v>49</c:v>
                </c:pt>
                <c:pt idx="56">
                  <c:v>49</c:v>
                </c:pt>
                <c:pt idx="57">
                  <c:v>49</c:v>
                </c:pt>
                <c:pt idx="58">
                  <c:v>49</c:v>
                </c:pt>
                <c:pt idx="59">
                  <c:v>48</c:v>
                </c:pt>
                <c:pt idx="60">
                  <c:v>53</c:v>
                </c:pt>
                <c:pt idx="61">
                  <c:v>55</c:v>
                </c:pt>
                <c:pt idx="62">
                  <c:v>57</c:v>
                </c:pt>
                <c:pt idx="63">
                  <c:v>65</c:v>
                </c:pt>
                <c:pt idx="64">
                  <c:v>67</c:v>
                </c:pt>
                <c:pt idx="65">
                  <c:v>67</c:v>
                </c:pt>
                <c:pt idx="66">
                  <c:v>67</c:v>
                </c:pt>
                <c:pt idx="67">
                  <c:v>67</c:v>
                </c:pt>
                <c:pt idx="68">
                  <c:v>67</c:v>
                </c:pt>
                <c:pt idx="69">
                  <c:v>65</c:v>
                </c:pt>
                <c:pt idx="70">
                  <c:v>66</c:v>
                </c:pt>
                <c:pt idx="71">
                  <c:v>71</c:v>
                </c:pt>
                <c:pt idx="72">
                  <c:v>70</c:v>
                </c:pt>
                <c:pt idx="73">
                  <c:v>68</c:v>
                </c:pt>
                <c:pt idx="74">
                  <c:v>71</c:v>
                </c:pt>
                <c:pt idx="75">
                  <c:v>71</c:v>
                </c:pt>
                <c:pt idx="76">
                  <c:v>70</c:v>
                </c:pt>
                <c:pt idx="77">
                  <c:v>72</c:v>
                </c:pt>
                <c:pt idx="78">
                  <c:v>71</c:v>
                </c:pt>
                <c:pt idx="80">
                  <c:v>79</c:v>
                </c:pt>
                <c:pt idx="81">
                  <c:v>77</c:v>
                </c:pt>
              </c:numCache>
            </c:numRef>
          </c:val>
          <c:smooth val="0"/>
        </c:ser>
        <c:dLbls>
          <c:showLegendKey val="0"/>
          <c:showVal val="0"/>
          <c:showCatName val="0"/>
          <c:showSerName val="0"/>
          <c:showPercent val="0"/>
          <c:showBubbleSize val="0"/>
        </c:dLbls>
        <c:marker val="1"/>
        <c:smooth val="0"/>
        <c:axId val="120277632"/>
        <c:axId val="120423936"/>
      </c:lineChart>
      <c:catAx>
        <c:axId val="120277632"/>
        <c:scaling>
          <c:orientation val="minMax"/>
        </c:scaling>
        <c:delete val="0"/>
        <c:axPos val="b"/>
        <c:numFmt formatCode="m/d/yyyy" sourceLinked="1"/>
        <c:majorTickMark val="none"/>
        <c:minorTickMark val="none"/>
        <c:tickLblPos val="nextTo"/>
        <c:crossAx val="120423936"/>
        <c:crosses val="autoZero"/>
        <c:auto val="1"/>
        <c:lblAlgn val="ctr"/>
        <c:lblOffset val="100"/>
        <c:noMultiLvlLbl val="0"/>
      </c:catAx>
      <c:valAx>
        <c:axId val="120423936"/>
        <c:scaling>
          <c:orientation val="minMax"/>
        </c:scaling>
        <c:delete val="0"/>
        <c:axPos val="l"/>
        <c:majorGridlines/>
        <c:title>
          <c:tx>
            <c:rich>
              <a:bodyPr/>
              <a:lstStyle/>
              <a:p>
                <a:pPr>
                  <a:defRPr/>
                </a:pPr>
                <a:r>
                  <a:rPr lang="hr-HR"/>
                  <a:t>Broj djelatnika</a:t>
                </a:r>
              </a:p>
            </c:rich>
          </c:tx>
          <c:overlay val="0"/>
        </c:title>
        <c:numFmt formatCode="General" sourceLinked="1"/>
        <c:majorTickMark val="none"/>
        <c:minorTickMark val="none"/>
        <c:tickLblPos val="nextTo"/>
        <c:crossAx val="120277632"/>
        <c:crosses val="autoZero"/>
        <c:crossBetween val="between"/>
      </c:valAx>
    </c:plotArea>
    <c:legend>
      <c:legendPos val="r"/>
      <c:legendEntry>
        <c:idx val="0"/>
        <c:delete val="1"/>
      </c:legendEntry>
      <c:legendEntry>
        <c:idx val="1"/>
        <c:delete val="1"/>
      </c:legendEntry>
      <c:legendEntry>
        <c:idx val="3"/>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6764B-AB09-4941-A6B3-F3B1E6BB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16708</Words>
  <Characters>95236</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Izvjesce_AMPEU_2013_v1.doc.docx</vt:lpstr>
    </vt:vector>
  </TitlesOfParts>
  <Company/>
  <LinksUpToDate>false</LinksUpToDate>
  <CharactersWithSpaces>111721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Izvjesce_AMPEU_2013_v1.doc.docx</dc:title>
  <dc:creator>Antonija Gladović</dc:creator>
  <cp:lastModifiedBy>Snježana Matek Sačer</cp:lastModifiedBy>
  <cp:revision>2</cp:revision>
  <cp:lastPrinted>2015-05-12T09:29:00Z</cp:lastPrinted>
  <dcterms:created xsi:type="dcterms:W3CDTF">2015-11-24T15:51:00Z</dcterms:created>
  <dcterms:modified xsi:type="dcterms:W3CDTF">2015-11-24T15:51:00Z</dcterms:modified>
</cp:coreProperties>
</file>